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A8FE" w14:textId="77777777" w:rsidR="00C179AC" w:rsidRDefault="00000000">
      <w:pPr>
        <w:spacing w:after="120"/>
        <w:jc w:val="center"/>
      </w:pPr>
      <w:r>
        <w:rPr>
          <w:rFonts w:ascii="Calibri" w:eastAsia="Calibri" w:hAnsi="Calibri"/>
        </w:rPr>
        <w:t>To sit alongside the formal Māori Land Court Trust Order</w:t>
      </w:r>
    </w:p>
    <w:p w14:paraId="42631721" w14:textId="77777777" w:rsidR="00C179AC" w:rsidRDefault="00000000">
      <w:pPr>
        <w:spacing w:after="120"/>
        <w:jc w:val="center"/>
      </w:pPr>
      <w:r>
        <w:rPr>
          <w:rFonts w:ascii="Calibri" w:eastAsia="Calibri" w:hAnsi="Calibri"/>
        </w:rPr>
        <w:t xml:space="preserve">Adopted by </w:t>
      </w:r>
      <w:r w:rsidR="004C43E4">
        <w:rPr>
          <w:rFonts w:ascii="Calibri" w:eastAsia="Calibri" w:hAnsi="Calibri"/>
        </w:rPr>
        <w:t>W</w:t>
      </w:r>
      <w:r>
        <w:rPr>
          <w:rFonts w:ascii="Calibri" w:eastAsia="Calibri" w:hAnsi="Calibri"/>
        </w:rPr>
        <w:t>hānau</w:t>
      </w:r>
      <w:r w:rsidR="004C43E4">
        <w:rPr>
          <w:rFonts w:ascii="Calibri" w:eastAsia="Calibri" w:hAnsi="Calibri"/>
        </w:rPr>
        <w:t xml:space="preserve"> 8</w:t>
      </w:r>
      <w:r w:rsidR="004C43E4" w:rsidRPr="004C43E4">
        <w:rPr>
          <w:rFonts w:ascii="Calibri" w:eastAsia="Calibri" w:hAnsi="Calibri"/>
          <w:vertAlign w:val="superscript"/>
        </w:rPr>
        <w:t>th</w:t>
      </w:r>
      <w:r w:rsidR="004C43E4">
        <w:rPr>
          <w:rFonts w:ascii="Calibri" w:eastAsia="Calibri" w:hAnsi="Calibri"/>
        </w:rPr>
        <w:t xml:space="preserve"> June 2025 and Taumore Ahu Whenua Trustee</w:t>
      </w:r>
      <w:r>
        <w:rPr>
          <w:rFonts w:ascii="Calibri" w:eastAsia="Calibri" w:hAnsi="Calibri"/>
        </w:rPr>
        <w:t xml:space="preserve"> resolution on </w:t>
      </w:r>
      <w:r w:rsidR="004C43E4">
        <w:rPr>
          <w:rFonts w:ascii="Calibri" w:eastAsia="Calibri" w:hAnsi="Calibri"/>
        </w:rPr>
        <w:t>25</w:t>
      </w:r>
      <w:r w:rsidR="004C43E4" w:rsidRPr="004C43E4">
        <w:rPr>
          <w:rFonts w:ascii="Calibri" w:eastAsia="Calibri" w:hAnsi="Calibri"/>
          <w:vertAlign w:val="superscript"/>
        </w:rPr>
        <w:t>th</w:t>
      </w:r>
      <w:r w:rsidR="004C43E4">
        <w:rPr>
          <w:rFonts w:ascii="Calibri" w:eastAsia="Calibri" w:hAnsi="Calibri"/>
        </w:rPr>
        <w:t xml:space="preserve"> June 2025</w:t>
      </w:r>
    </w:p>
    <w:p w14:paraId="6E7B1464" w14:textId="77777777" w:rsidR="00C179AC" w:rsidRDefault="00000000">
      <w:pPr>
        <w:spacing w:after="120"/>
      </w:pPr>
      <w:r>
        <w:rPr>
          <w:rFonts w:ascii="Calibri" w:eastAsia="Calibri" w:hAnsi="Calibri"/>
        </w:rPr>
        <w:br w:type="page"/>
      </w:r>
    </w:p>
    <w:p w14:paraId="02CA4481" w14:textId="77777777" w:rsidR="00B36C30" w:rsidRPr="00B36C30" w:rsidRDefault="00B36C30" w:rsidP="003D0A70">
      <w:pPr>
        <w:spacing w:after="120"/>
        <w:rPr>
          <w:rFonts w:asciiTheme="majorHAnsi" w:hAnsiTheme="majorHAnsi" w:cstheme="majorHAnsi"/>
          <w:color w:val="0070C0"/>
          <w:sz w:val="28"/>
          <w:szCs w:val="28"/>
        </w:rPr>
      </w:pPr>
      <w:r>
        <w:rPr>
          <w:rFonts w:asciiTheme="majorHAnsi" w:eastAsia="Calibri" w:hAnsiTheme="majorHAnsi" w:cstheme="majorHAnsi"/>
          <w:b/>
          <w:bCs/>
          <w:color w:val="0070C0"/>
          <w:szCs w:val="28"/>
        </w:rPr>
        <w:lastRenderedPageBreak/>
        <w:t>1</w:t>
      </w:r>
      <w:r w:rsidRPr="00B36C30">
        <w:rPr>
          <w:rFonts w:asciiTheme="majorHAnsi" w:eastAsia="Calibri" w:hAnsiTheme="majorHAnsi" w:cstheme="majorHAnsi"/>
          <w:b/>
          <w:bCs/>
          <w:color w:val="0070C0"/>
          <w:szCs w:val="28"/>
        </w:rPr>
        <w:t xml:space="preserve">. </w:t>
      </w:r>
      <w:r>
        <w:rPr>
          <w:rFonts w:asciiTheme="majorHAnsi" w:eastAsia="Calibri" w:hAnsiTheme="majorHAnsi" w:cstheme="majorHAnsi"/>
          <w:b/>
          <w:bCs/>
          <w:color w:val="0070C0"/>
          <w:szCs w:val="28"/>
        </w:rPr>
        <w:t>Foundational Clauses</w:t>
      </w:r>
    </w:p>
    <w:p w14:paraId="24B2CC3A" w14:textId="29EEB868" w:rsidR="004C43E4" w:rsidRPr="00E92330" w:rsidRDefault="004C43E4" w:rsidP="003D0A70">
      <w:pPr>
        <w:spacing w:after="120"/>
      </w:pPr>
      <w:r w:rsidRPr="00E92330">
        <w:rPr>
          <w:rFonts w:ascii="Calibri" w:eastAsia="Calibri" w:hAnsi="Calibri"/>
          <w:b/>
          <w:bCs/>
        </w:rPr>
        <w:t>1. TRUST NAME, T</w:t>
      </w:r>
      <w:r w:rsidR="00BE177A">
        <w:rPr>
          <w:rFonts w:ascii="Calibri" w:eastAsia="Calibri" w:hAnsi="Calibri"/>
          <w:b/>
          <w:bCs/>
        </w:rPr>
        <w:t>U</w:t>
      </w:r>
      <w:r w:rsidRPr="00E92330">
        <w:rPr>
          <w:rFonts w:ascii="Calibri" w:eastAsia="Calibri" w:hAnsi="Calibri"/>
          <w:b/>
          <w:bCs/>
        </w:rPr>
        <w:t>PUNA AND BENEFICIARIES</w:t>
      </w:r>
    </w:p>
    <w:p w14:paraId="7A518BDC" w14:textId="77777777" w:rsidR="004C43E4" w:rsidRPr="00E92330" w:rsidRDefault="004C43E4" w:rsidP="003D0A70">
      <w:pPr>
        <w:spacing w:after="120"/>
      </w:pPr>
      <w:r w:rsidRPr="00E92330">
        <w:rPr>
          <w:rFonts w:ascii="Calibri" w:eastAsia="Calibri" w:hAnsi="Calibri"/>
          <w:b/>
          <w:bCs/>
        </w:rPr>
        <w:t>1.1 Trust Name:</w:t>
      </w:r>
      <w:r w:rsidRPr="00E92330">
        <w:rPr>
          <w:rFonts w:ascii="Calibri" w:eastAsia="Calibri" w:hAnsi="Calibri"/>
        </w:rPr>
        <w:br/>
        <w:t xml:space="preserve">The trust shall be known as </w:t>
      </w:r>
      <w:r w:rsidRPr="00E92330">
        <w:rPr>
          <w:rFonts w:ascii="Calibri" w:eastAsia="Calibri" w:hAnsi="Calibri"/>
          <w:b/>
          <w:bCs/>
        </w:rPr>
        <w:t>Taumore Ahu Whenua Trust</w:t>
      </w:r>
      <w:r w:rsidRPr="00E92330">
        <w:rPr>
          <w:rFonts w:ascii="Calibri" w:eastAsia="Calibri" w:hAnsi="Calibri"/>
        </w:rPr>
        <w:t>.</w:t>
      </w:r>
    </w:p>
    <w:p w14:paraId="256F7002" w14:textId="77777777" w:rsidR="004C43E4" w:rsidRPr="00E92330" w:rsidRDefault="004C43E4" w:rsidP="003D0A70">
      <w:pPr>
        <w:spacing w:after="120"/>
      </w:pPr>
      <w:r w:rsidRPr="00E92330">
        <w:rPr>
          <w:rFonts w:ascii="Calibri" w:eastAsia="Calibri" w:hAnsi="Calibri"/>
          <w:b/>
          <w:bCs/>
        </w:rPr>
        <w:t>1.2 Tūpuna:</w:t>
      </w:r>
      <w:r w:rsidRPr="00E92330">
        <w:rPr>
          <w:rFonts w:ascii="Calibri" w:eastAsia="Calibri" w:hAnsi="Calibri"/>
        </w:rPr>
        <w:br/>
        <w:t xml:space="preserve">The Tūpuna of this trust are </w:t>
      </w:r>
      <w:r w:rsidRPr="00E92330">
        <w:rPr>
          <w:rFonts w:ascii="Calibri" w:eastAsia="Calibri" w:hAnsi="Calibri"/>
          <w:b/>
          <w:bCs/>
        </w:rPr>
        <w:t>Hautakiri Thomas Castle and Emily Roka Huitora Pekewhati Castle</w:t>
      </w:r>
      <w:r w:rsidRPr="00E92330">
        <w:rPr>
          <w:rFonts w:ascii="Calibri" w:eastAsia="Calibri" w:hAnsi="Calibri"/>
        </w:rPr>
        <w:t>.</w:t>
      </w:r>
    </w:p>
    <w:p w14:paraId="5C520BDD" w14:textId="2137A960" w:rsidR="00BE177A" w:rsidRPr="00BE177A" w:rsidRDefault="004C43E4" w:rsidP="00BE177A">
      <w:pPr>
        <w:spacing w:after="120"/>
        <w:rPr>
          <w:rFonts w:ascii="Calibri" w:eastAsia="Calibri" w:hAnsi="Calibri"/>
          <w:lang w:val="en-NZ"/>
        </w:rPr>
      </w:pPr>
      <w:r w:rsidRPr="00E92330">
        <w:rPr>
          <w:rFonts w:ascii="Calibri" w:eastAsia="Calibri" w:hAnsi="Calibri"/>
          <w:b/>
          <w:bCs/>
        </w:rPr>
        <w:t>1.3 Whānau Beneficiaries:</w:t>
      </w:r>
      <w:r w:rsidRPr="00E92330">
        <w:rPr>
          <w:rFonts w:ascii="Calibri" w:eastAsia="Calibri" w:hAnsi="Calibri"/>
        </w:rPr>
        <w:br/>
      </w:r>
      <w:r w:rsidR="00BE177A" w:rsidRPr="00BE177A">
        <w:rPr>
          <w:rFonts w:ascii="Calibri" w:eastAsia="Calibri" w:hAnsi="Calibri"/>
          <w:lang w:val="en-NZ"/>
        </w:rPr>
        <w:t xml:space="preserve">The beneficiaries of this Trust are the </w:t>
      </w:r>
      <w:r w:rsidR="00BE177A" w:rsidRPr="00BE177A">
        <w:rPr>
          <w:rFonts w:ascii="Calibri" w:eastAsia="Calibri" w:hAnsi="Calibri"/>
          <w:b/>
          <w:bCs/>
          <w:lang w:val="en-NZ"/>
        </w:rPr>
        <w:t>Uri (descendants)</w:t>
      </w:r>
      <w:r w:rsidR="00BE177A" w:rsidRPr="00BE177A">
        <w:rPr>
          <w:rFonts w:ascii="Calibri" w:eastAsia="Calibri" w:hAnsi="Calibri"/>
          <w:lang w:val="en-NZ"/>
        </w:rPr>
        <w:t xml:space="preserve"> of the union between </w:t>
      </w:r>
      <w:r w:rsidR="00BE177A" w:rsidRPr="00BE177A">
        <w:rPr>
          <w:rFonts w:ascii="Calibri" w:eastAsia="Calibri" w:hAnsi="Calibri"/>
          <w:b/>
          <w:bCs/>
          <w:lang w:val="en-NZ"/>
        </w:rPr>
        <w:t>Thomas Hautakiri Castle</w:t>
      </w:r>
      <w:r w:rsidR="00BE177A" w:rsidRPr="00BE177A">
        <w:rPr>
          <w:rFonts w:ascii="Calibri" w:eastAsia="Calibri" w:hAnsi="Calibri"/>
          <w:lang w:val="en-NZ"/>
        </w:rPr>
        <w:t xml:space="preserve"> and </w:t>
      </w:r>
      <w:r w:rsidR="00BE177A" w:rsidRPr="00BE177A">
        <w:rPr>
          <w:rFonts w:ascii="Calibri" w:eastAsia="Calibri" w:hAnsi="Calibri"/>
          <w:b/>
          <w:bCs/>
          <w:lang w:val="en-NZ"/>
        </w:rPr>
        <w:t>Emily Roka Huitoroa Castle</w:t>
      </w:r>
      <w:r w:rsidR="00BE177A">
        <w:rPr>
          <w:rFonts w:ascii="Calibri" w:eastAsia="Calibri" w:hAnsi="Calibri"/>
          <w:b/>
          <w:bCs/>
          <w:lang w:val="en-NZ"/>
        </w:rPr>
        <w:t>.</w:t>
      </w:r>
    </w:p>
    <w:p w14:paraId="529DF39A" w14:textId="77777777" w:rsidR="00BE177A" w:rsidRPr="00BE177A" w:rsidRDefault="00BE177A" w:rsidP="00BE177A">
      <w:pPr>
        <w:spacing w:after="120"/>
        <w:rPr>
          <w:rFonts w:ascii="Calibri" w:eastAsia="Calibri" w:hAnsi="Calibri"/>
          <w:b/>
          <w:bCs/>
          <w:lang w:val="en-NZ"/>
        </w:rPr>
      </w:pPr>
      <w:r w:rsidRPr="00BE177A">
        <w:rPr>
          <w:rFonts w:ascii="Calibri" w:eastAsia="Calibri" w:hAnsi="Calibri"/>
          <w:b/>
          <w:bCs/>
          <w:lang w:val="en-NZ"/>
        </w:rPr>
        <w:t>Recognition of Whāngai</w:t>
      </w:r>
    </w:p>
    <w:p w14:paraId="10973E61" w14:textId="59F9BBEB" w:rsidR="00BE177A" w:rsidRPr="00BE177A" w:rsidRDefault="00BE177A" w:rsidP="00BE177A">
      <w:pPr>
        <w:spacing w:after="120"/>
        <w:rPr>
          <w:rFonts w:ascii="Calibri" w:eastAsia="Calibri" w:hAnsi="Calibri"/>
          <w:lang w:val="en-NZ"/>
        </w:rPr>
      </w:pPr>
      <w:r w:rsidRPr="00BE177A">
        <w:rPr>
          <w:rFonts w:ascii="Calibri" w:eastAsia="Calibri" w:hAnsi="Calibri"/>
          <w:lang w:val="en-NZ"/>
        </w:rPr>
        <w:t>Whāngai who have been raised within the</w:t>
      </w:r>
      <w:r w:rsidR="00723EE6">
        <w:rPr>
          <w:rFonts w:ascii="Calibri" w:eastAsia="Calibri" w:hAnsi="Calibri"/>
          <w:lang w:val="en-NZ"/>
        </w:rPr>
        <w:t xml:space="preserve"> whanau</w:t>
      </w:r>
      <w:r w:rsidRPr="00BE177A">
        <w:rPr>
          <w:rFonts w:ascii="Calibri" w:eastAsia="Calibri" w:hAnsi="Calibri"/>
          <w:lang w:val="en-NZ"/>
        </w:rPr>
        <w:t xml:space="preserve"> </w:t>
      </w:r>
      <w:r w:rsidRPr="00BE177A">
        <w:rPr>
          <w:rFonts w:ascii="Calibri" w:eastAsia="Calibri" w:hAnsi="Calibri"/>
          <w:b/>
          <w:bCs/>
          <w:lang w:val="en-NZ"/>
        </w:rPr>
        <w:t>shall be recognised as Uri</w:t>
      </w:r>
      <w:r w:rsidRPr="00BE177A">
        <w:rPr>
          <w:rFonts w:ascii="Calibri" w:eastAsia="Calibri" w:hAnsi="Calibri"/>
          <w:lang w:val="en-NZ"/>
        </w:rPr>
        <w:t xml:space="preserve"> for the purposes of this Trust. They are entitled to full participation, including voting rights and eligibility for trustee roles.</w:t>
      </w:r>
    </w:p>
    <w:p w14:paraId="1EBAF620" w14:textId="70B155B1" w:rsidR="00BE177A" w:rsidRDefault="004C43E4" w:rsidP="003D0A70">
      <w:pPr>
        <w:spacing w:after="120"/>
        <w:rPr>
          <w:rFonts w:ascii="Calibri" w:eastAsia="Calibri" w:hAnsi="Calibri"/>
          <w:b/>
          <w:bCs/>
        </w:rPr>
      </w:pPr>
      <w:r w:rsidRPr="00E92330">
        <w:rPr>
          <w:rFonts w:ascii="Calibri" w:eastAsia="Calibri" w:hAnsi="Calibri"/>
          <w:b/>
          <w:bCs/>
        </w:rPr>
        <w:t>1.4 Partner Involvement Clause:</w:t>
      </w:r>
    </w:p>
    <w:p w14:paraId="05D11991" w14:textId="77777777" w:rsidR="00A81B87" w:rsidRPr="00A81B87" w:rsidRDefault="00A81B87" w:rsidP="00A81B87">
      <w:pPr>
        <w:spacing w:after="120"/>
        <w:rPr>
          <w:rFonts w:ascii="Calibri" w:eastAsia="Calibri" w:hAnsi="Calibri"/>
          <w:lang w:val="en-NZ"/>
        </w:rPr>
      </w:pPr>
      <w:r w:rsidRPr="00A81B87">
        <w:rPr>
          <w:rFonts w:ascii="Calibri" w:eastAsia="Calibri" w:hAnsi="Calibri"/>
          <w:lang w:val="en-NZ"/>
        </w:rPr>
        <w:t>For the purposes of this Trust:</w:t>
      </w:r>
    </w:p>
    <w:p w14:paraId="41CE810E" w14:textId="77777777" w:rsidR="00A81B87" w:rsidRPr="00A81B87" w:rsidRDefault="00A81B87" w:rsidP="00A81B87">
      <w:pPr>
        <w:spacing w:after="120"/>
        <w:rPr>
          <w:rFonts w:ascii="Calibri" w:eastAsia="Calibri" w:hAnsi="Calibri"/>
          <w:lang w:val="en-NZ"/>
        </w:rPr>
      </w:pPr>
      <w:r w:rsidRPr="00A81B87">
        <w:rPr>
          <w:rFonts w:ascii="Calibri" w:eastAsia="Calibri" w:hAnsi="Calibri"/>
          <w:b/>
          <w:bCs/>
          <w:lang w:val="en-NZ"/>
        </w:rPr>
        <w:t>1.1 Definition of Contributing Partner</w:t>
      </w:r>
      <w:r w:rsidRPr="00A81B87">
        <w:rPr>
          <w:rFonts w:ascii="Calibri" w:eastAsia="Calibri" w:hAnsi="Calibri"/>
          <w:lang w:val="en-NZ"/>
        </w:rPr>
        <w:br/>
        <w:t xml:space="preserve">A contributing partner is defined as a spouse or de facto partner of a registered Uri (beneficiary) who has been in a committed relationship for a minimum of </w:t>
      </w:r>
      <w:r w:rsidRPr="00A81B87">
        <w:rPr>
          <w:rFonts w:ascii="Calibri" w:eastAsia="Calibri" w:hAnsi="Calibri"/>
          <w:b/>
          <w:bCs/>
          <w:lang w:val="en-NZ"/>
        </w:rPr>
        <w:t>12 consecutive months</w:t>
      </w:r>
      <w:r w:rsidRPr="00A81B87">
        <w:rPr>
          <w:rFonts w:ascii="Calibri" w:eastAsia="Calibri" w:hAnsi="Calibri"/>
          <w:lang w:val="en-NZ"/>
        </w:rPr>
        <w:t>. Recognition applies for the duration of the relationship only.</w:t>
      </w:r>
    </w:p>
    <w:p w14:paraId="2A39C476" w14:textId="77777777" w:rsidR="00A81B87" w:rsidRPr="00A81B87" w:rsidRDefault="00A81B87" w:rsidP="00A81B87">
      <w:pPr>
        <w:spacing w:after="120"/>
        <w:rPr>
          <w:rFonts w:ascii="Calibri" w:eastAsia="Calibri" w:hAnsi="Calibri"/>
          <w:lang w:val="en-NZ"/>
        </w:rPr>
      </w:pPr>
      <w:r w:rsidRPr="00A81B87">
        <w:rPr>
          <w:rFonts w:ascii="Calibri" w:eastAsia="Calibri" w:hAnsi="Calibri"/>
          <w:b/>
          <w:bCs/>
          <w:lang w:val="en-NZ"/>
        </w:rPr>
        <w:t>1.2 Participation Rights</w:t>
      </w:r>
      <w:r w:rsidRPr="00A81B87">
        <w:rPr>
          <w:rFonts w:ascii="Calibri" w:eastAsia="Calibri" w:hAnsi="Calibri"/>
          <w:lang w:val="en-NZ"/>
        </w:rPr>
        <w:br/>
        <w:t>Contributing partners may:</w:t>
      </w:r>
    </w:p>
    <w:p w14:paraId="0532BC8F" w14:textId="587D6EE6" w:rsidR="00A81B87" w:rsidRPr="00A81B87" w:rsidRDefault="00A81B87" w:rsidP="00A81B87">
      <w:pPr>
        <w:numPr>
          <w:ilvl w:val="0"/>
          <w:numId w:val="39"/>
        </w:numPr>
        <w:spacing w:after="120"/>
        <w:rPr>
          <w:rFonts w:ascii="Calibri" w:eastAsia="Calibri" w:hAnsi="Calibri"/>
          <w:lang w:val="en-NZ"/>
        </w:rPr>
      </w:pPr>
      <w:r w:rsidRPr="00A81B87">
        <w:rPr>
          <w:rFonts w:ascii="Calibri" w:eastAsia="Calibri" w:hAnsi="Calibri"/>
          <w:lang w:val="en-NZ"/>
        </w:rPr>
        <w:t>Attend and speak at whānau hui.</w:t>
      </w:r>
    </w:p>
    <w:p w14:paraId="06787DB0" w14:textId="2779C593" w:rsidR="00A81B87" w:rsidRPr="00A81B87" w:rsidRDefault="00A81B87" w:rsidP="00A81B87">
      <w:pPr>
        <w:numPr>
          <w:ilvl w:val="0"/>
          <w:numId w:val="39"/>
        </w:numPr>
        <w:spacing w:after="120"/>
        <w:rPr>
          <w:rFonts w:ascii="Calibri" w:eastAsia="Calibri" w:hAnsi="Calibri"/>
          <w:lang w:val="en-NZ"/>
        </w:rPr>
      </w:pPr>
      <w:r w:rsidRPr="00A81B87">
        <w:rPr>
          <w:rFonts w:ascii="Calibri" w:eastAsia="Calibri" w:hAnsi="Calibri"/>
          <w:lang w:val="en-NZ"/>
        </w:rPr>
        <w:t>Receive pānui and Trust communications.</w:t>
      </w:r>
    </w:p>
    <w:p w14:paraId="577A8434" w14:textId="7F497ED6" w:rsidR="00A81B87" w:rsidRPr="00A81B87" w:rsidRDefault="00A81B87" w:rsidP="00A81B87">
      <w:pPr>
        <w:numPr>
          <w:ilvl w:val="0"/>
          <w:numId w:val="39"/>
        </w:numPr>
        <w:spacing w:after="120"/>
        <w:rPr>
          <w:rFonts w:ascii="Calibri" w:eastAsia="Calibri" w:hAnsi="Calibri"/>
          <w:lang w:val="en-NZ"/>
        </w:rPr>
      </w:pPr>
      <w:r w:rsidRPr="00A81B87">
        <w:rPr>
          <w:rFonts w:ascii="Calibri" w:eastAsia="Calibri" w:hAnsi="Calibri"/>
          <w:lang w:val="en-NZ"/>
        </w:rPr>
        <w:t>Participate in Trust kaupapa and wānanga.</w:t>
      </w:r>
    </w:p>
    <w:p w14:paraId="122EB2BC" w14:textId="6009AE13" w:rsidR="00A81B87" w:rsidRPr="00A81B87" w:rsidRDefault="00A81B87" w:rsidP="00A81B87">
      <w:pPr>
        <w:numPr>
          <w:ilvl w:val="0"/>
          <w:numId w:val="39"/>
        </w:numPr>
        <w:spacing w:after="120"/>
        <w:rPr>
          <w:rFonts w:ascii="Calibri" w:eastAsia="Calibri" w:hAnsi="Calibri"/>
          <w:lang w:val="en-NZ"/>
        </w:rPr>
      </w:pPr>
      <w:r w:rsidRPr="00A81B87">
        <w:rPr>
          <w:rFonts w:ascii="Calibri" w:eastAsia="Calibri" w:hAnsi="Calibri"/>
          <w:lang w:val="en-NZ"/>
        </w:rPr>
        <w:t>Vote at Annual General Meetings (AGMs), Special General Meetings (SGMs), and in trustee elections.</w:t>
      </w:r>
    </w:p>
    <w:p w14:paraId="248B82BB" w14:textId="77777777" w:rsidR="00A81B87" w:rsidRPr="00A81B87" w:rsidRDefault="00A81B87" w:rsidP="00A81B87">
      <w:pPr>
        <w:numPr>
          <w:ilvl w:val="0"/>
          <w:numId w:val="39"/>
        </w:numPr>
        <w:spacing w:after="120"/>
        <w:rPr>
          <w:rFonts w:ascii="Calibri" w:eastAsia="Calibri" w:hAnsi="Calibri"/>
          <w:lang w:val="en-NZ"/>
        </w:rPr>
      </w:pPr>
      <w:r w:rsidRPr="00A81B87">
        <w:rPr>
          <w:rFonts w:ascii="Calibri" w:eastAsia="Calibri" w:hAnsi="Calibri"/>
          <w:lang w:val="en-NZ"/>
        </w:rPr>
        <w:t>Contribute financially or through approved mahi/materials.</w:t>
      </w:r>
    </w:p>
    <w:p w14:paraId="13AD7B57" w14:textId="77777777" w:rsidR="00A81B87" w:rsidRPr="00A81B87" w:rsidRDefault="00A81B87" w:rsidP="00A81B87">
      <w:pPr>
        <w:spacing w:after="120"/>
        <w:rPr>
          <w:rFonts w:ascii="Calibri" w:eastAsia="Calibri" w:hAnsi="Calibri"/>
          <w:lang w:val="en-NZ"/>
        </w:rPr>
      </w:pPr>
      <w:r w:rsidRPr="00A81B87">
        <w:rPr>
          <w:rFonts w:ascii="Calibri" w:eastAsia="Calibri" w:hAnsi="Calibri"/>
          <w:b/>
          <w:bCs/>
          <w:lang w:val="en-NZ"/>
        </w:rPr>
        <w:t>1.3 Exclusions</w:t>
      </w:r>
      <w:r w:rsidRPr="00A81B87">
        <w:rPr>
          <w:rFonts w:ascii="Calibri" w:eastAsia="Calibri" w:hAnsi="Calibri"/>
          <w:lang w:val="en-NZ"/>
        </w:rPr>
        <w:br/>
        <w:t xml:space="preserve">Contributing partners are </w:t>
      </w:r>
      <w:r w:rsidRPr="00A81B87">
        <w:rPr>
          <w:rFonts w:ascii="Calibri" w:eastAsia="Calibri" w:hAnsi="Calibri"/>
          <w:b/>
          <w:bCs/>
          <w:lang w:val="en-NZ"/>
        </w:rPr>
        <w:t>not eligible to</w:t>
      </w:r>
      <w:r w:rsidRPr="00A81B87">
        <w:rPr>
          <w:rFonts w:ascii="Calibri" w:eastAsia="Calibri" w:hAnsi="Calibri"/>
          <w:lang w:val="en-NZ"/>
        </w:rPr>
        <w:t>:</w:t>
      </w:r>
    </w:p>
    <w:p w14:paraId="0161705B" w14:textId="37214384" w:rsidR="00A81B87" w:rsidRPr="00A81B87" w:rsidRDefault="00A81B87" w:rsidP="00A81B87">
      <w:pPr>
        <w:numPr>
          <w:ilvl w:val="0"/>
          <w:numId w:val="41"/>
        </w:numPr>
        <w:spacing w:after="120"/>
        <w:rPr>
          <w:rFonts w:ascii="Calibri" w:eastAsia="Calibri" w:hAnsi="Calibri"/>
          <w:lang w:val="en-NZ"/>
        </w:rPr>
      </w:pPr>
      <w:r w:rsidRPr="00A81B87">
        <w:rPr>
          <w:rFonts w:ascii="Calibri" w:eastAsia="Calibri" w:hAnsi="Calibri"/>
          <w:b/>
          <w:bCs/>
          <w:lang w:val="en-NZ"/>
        </w:rPr>
        <w:t>Hold a trustee position</w:t>
      </w:r>
      <w:r w:rsidRPr="00A81B87">
        <w:rPr>
          <w:rFonts w:ascii="Calibri" w:eastAsia="Calibri" w:hAnsi="Calibri"/>
          <w:lang w:val="en-NZ"/>
        </w:rPr>
        <w:t xml:space="preserve"> within the </w:t>
      </w:r>
      <w:r w:rsidR="005A1949" w:rsidRPr="00A81B87">
        <w:rPr>
          <w:rFonts w:ascii="Calibri" w:eastAsia="Calibri" w:hAnsi="Calibri"/>
          <w:lang w:val="en-NZ"/>
        </w:rPr>
        <w:t>Trust.</w:t>
      </w:r>
    </w:p>
    <w:p w14:paraId="12200BEF" w14:textId="20279073" w:rsidR="00A81B87" w:rsidRPr="00A81B87" w:rsidRDefault="00A81B87" w:rsidP="00A81B87">
      <w:pPr>
        <w:numPr>
          <w:ilvl w:val="0"/>
          <w:numId w:val="41"/>
        </w:numPr>
        <w:spacing w:after="120"/>
        <w:rPr>
          <w:rFonts w:ascii="Calibri" w:eastAsia="Calibri" w:hAnsi="Calibri"/>
          <w:lang w:val="en-NZ"/>
        </w:rPr>
      </w:pPr>
      <w:r w:rsidRPr="00A81B87">
        <w:rPr>
          <w:rFonts w:ascii="Calibri" w:eastAsia="Calibri" w:hAnsi="Calibri"/>
          <w:lang w:val="en-NZ"/>
        </w:rPr>
        <w:t xml:space="preserve">Be recognised as Uri for succession or shareholding </w:t>
      </w:r>
      <w:r w:rsidR="005A1949" w:rsidRPr="00A81B87">
        <w:rPr>
          <w:rFonts w:ascii="Calibri" w:eastAsia="Calibri" w:hAnsi="Calibri"/>
          <w:lang w:val="en-NZ"/>
        </w:rPr>
        <w:t>purposes.</w:t>
      </w:r>
    </w:p>
    <w:p w14:paraId="72767E21" w14:textId="77777777" w:rsidR="00A81B87" w:rsidRPr="00A81B87" w:rsidRDefault="00A81B87" w:rsidP="00A81B87">
      <w:pPr>
        <w:numPr>
          <w:ilvl w:val="0"/>
          <w:numId w:val="41"/>
        </w:numPr>
        <w:spacing w:after="120"/>
        <w:rPr>
          <w:rFonts w:ascii="Calibri" w:eastAsia="Calibri" w:hAnsi="Calibri"/>
          <w:lang w:val="en-NZ"/>
        </w:rPr>
      </w:pPr>
      <w:r w:rsidRPr="00A81B87">
        <w:rPr>
          <w:rFonts w:ascii="Calibri" w:eastAsia="Calibri" w:hAnsi="Calibri"/>
          <w:lang w:val="en-NZ"/>
        </w:rPr>
        <w:t>Inherit tenure or occupation rights on Trust-managed whenua, unless by written agreement from the Trustees.</w:t>
      </w:r>
    </w:p>
    <w:p w14:paraId="00BF581C" w14:textId="46D1A712" w:rsidR="00A81B87" w:rsidRPr="00A81B87" w:rsidRDefault="00A81B87" w:rsidP="00A81B87">
      <w:pPr>
        <w:spacing w:after="120"/>
        <w:rPr>
          <w:rFonts w:ascii="Calibri" w:eastAsia="Calibri" w:hAnsi="Calibri"/>
          <w:lang w:val="en-NZ"/>
        </w:rPr>
      </w:pPr>
      <w:r w:rsidRPr="00A81B87">
        <w:rPr>
          <w:rFonts w:ascii="Calibri" w:eastAsia="Calibri" w:hAnsi="Calibri"/>
          <w:b/>
          <w:bCs/>
          <w:lang w:val="en-NZ"/>
        </w:rPr>
        <w:lastRenderedPageBreak/>
        <w:t>1.4 End of Relationship</w:t>
      </w:r>
      <w:r w:rsidRPr="00A81B87">
        <w:rPr>
          <w:rFonts w:ascii="Calibri" w:eastAsia="Calibri" w:hAnsi="Calibri"/>
          <w:lang w:val="en-NZ"/>
        </w:rPr>
        <w:br/>
        <w:t xml:space="preserve">Should the relationship between a registered Uri and their partner dissolve, the contributing partner </w:t>
      </w:r>
      <w:r w:rsidRPr="00A81B87">
        <w:rPr>
          <w:rFonts w:ascii="Calibri" w:eastAsia="Calibri" w:hAnsi="Calibri"/>
          <w:b/>
          <w:bCs/>
          <w:lang w:val="en-NZ"/>
        </w:rPr>
        <w:t>immediately forfeits all rights</w:t>
      </w:r>
      <w:r w:rsidRPr="00A81B87">
        <w:rPr>
          <w:rFonts w:ascii="Calibri" w:eastAsia="Calibri" w:hAnsi="Calibri"/>
          <w:lang w:val="en-NZ"/>
        </w:rPr>
        <w:t xml:space="preserve"> to vote, participate, or engage in Trust matters. No appeals or exceptions shall apply.</w:t>
      </w:r>
    </w:p>
    <w:p w14:paraId="1C79CBF7" w14:textId="5A2141CB" w:rsidR="004C43E4" w:rsidRDefault="004C43E4" w:rsidP="003D0A70">
      <w:pPr>
        <w:spacing w:after="120"/>
        <w:rPr>
          <w:rFonts w:ascii="Calibri" w:eastAsia="Calibri" w:hAnsi="Calibri"/>
        </w:rPr>
      </w:pPr>
      <w:r w:rsidRPr="008A32A0">
        <w:rPr>
          <w:rFonts w:ascii="Calibri" w:eastAsia="Calibri" w:hAnsi="Calibri"/>
          <w:b/>
          <w:bCs/>
        </w:rPr>
        <w:t>1.5</w:t>
      </w:r>
      <w:r w:rsidRPr="008A32A0">
        <w:rPr>
          <w:rFonts w:ascii="Calibri" w:eastAsia="Calibri" w:hAnsi="Calibri"/>
        </w:rPr>
        <w:t xml:space="preserve"> Voting Eligibility: </w:t>
      </w:r>
      <w:r w:rsidRPr="008A32A0">
        <w:rPr>
          <w:rFonts w:ascii="Calibri" w:eastAsia="Calibri" w:hAnsi="Calibri"/>
        </w:rPr>
        <w:br/>
      </w:r>
      <w:r w:rsidRPr="002D3DAC">
        <w:rPr>
          <w:rFonts w:ascii="Calibri" w:eastAsia="Calibri" w:hAnsi="Calibri"/>
        </w:rPr>
        <w:t xml:space="preserve">Annual General Meetings (AGMs) shall be open to </w:t>
      </w:r>
      <w:r w:rsidR="002D3DAC" w:rsidRPr="002D3DAC">
        <w:rPr>
          <w:rFonts w:ascii="Calibri" w:eastAsia="Calibri" w:hAnsi="Calibri"/>
          <w:b/>
          <w:bCs/>
        </w:rPr>
        <w:t xml:space="preserve">all </w:t>
      </w:r>
      <w:r w:rsidR="002D3DAC">
        <w:rPr>
          <w:rFonts w:ascii="Calibri" w:eastAsia="Calibri" w:hAnsi="Calibri"/>
          <w:b/>
          <w:bCs/>
        </w:rPr>
        <w:t>Uri</w:t>
      </w:r>
      <w:r w:rsidR="00A51F3B" w:rsidRPr="002D3DAC">
        <w:rPr>
          <w:rFonts w:ascii="Calibri" w:eastAsia="Calibri" w:hAnsi="Calibri"/>
          <w:b/>
          <w:bCs/>
        </w:rPr>
        <w:t xml:space="preserve"> </w:t>
      </w:r>
      <w:r w:rsidRPr="002D3DAC">
        <w:rPr>
          <w:rFonts w:ascii="Calibri" w:eastAsia="Calibri" w:hAnsi="Calibri"/>
          <w:b/>
          <w:bCs/>
        </w:rPr>
        <w:t xml:space="preserve">aged 18 and over </w:t>
      </w:r>
      <w:r w:rsidR="002D3DAC" w:rsidRPr="002D3DAC">
        <w:rPr>
          <w:rFonts w:ascii="Calibri" w:eastAsia="Calibri" w:hAnsi="Calibri"/>
          <w:b/>
          <w:bCs/>
        </w:rPr>
        <w:t xml:space="preserve">and are registered on the official Trust website. </w:t>
      </w:r>
      <w:r w:rsidRPr="002D3DAC">
        <w:rPr>
          <w:rFonts w:ascii="Calibri" w:eastAsia="Calibri" w:hAnsi="Calibri"/>
        </w:rPr>
        <w:t xml:space="preserve">decisions pertaining to the development or investment of Taumore lands shall be determined by </w:t>
      </w:r>
      <w:r w:rsidRPr="002D3DAC">
        <w:rPr>
          <w:rFonts w:ascii="Calibri" w:eastAsia="Calibri" w:hAnsi="Calibri"/>
          <w:b/>
          <w:bCs/>
        </w:rPr>
        <w:t>contributing members</w:t>
      </w:r>
      <w:r w:rsidR="00B042ED" w:rsidRPr="002D3DAC">
        <w:rPr>
          <w:rFonts w:ascii="Calibri" w:eastAsia="Calibri" w:hAnsi="Calibri"/>
          <w:b/>
          <w:bCs/>
        </w:rPr>
        <w:t xml:space="preserve"> only</w:t>
      </w:r>
      <w:r w:rsidRPr="002D3DAC">
        <w:rPr>
          <w:rFonts w:ascii="Calibri" w:eastAsia="Calibri" w:hAnsi="Calibri"/>
        </w:rPr>
        <w:t xml:space="preserve"> of the Trust.</w:t>
      </w:r>
    </w:p>
    <w:p w14:paraId="50C23EB8" w14:textId="77777777" w:rsidR="002D3DAC" w:rsidRPr="002D3DAC" w:rsidRDefault="002D3DAC" w:rsidP="002D3DAC">
      <w:pPr>
        <w:tabs>
          <w:tab w:val="num" w:pos="720"/>
        </w:tabs>
        <w:spacing w:after="120"/>
        <w:rPr>
          <w:b/>
          <w:bCs/>
          <w:i/>
          <w:iCs/>
          <w:lang w:val="en-NZ"/>
        </w:rPr>
      </w:pPr>
      <w:r w:rsidRPr="002D3DAC">
        <w:rPr>
          <w:b/>
          <w:bCs/>
          <w:i/>
          <w:iCs/>
          <w:lang w:val="en-NZ"/>
        </w:rPr>
        <w:t>Definition of a</w:t>
      </w:r>
      <w:r w:rsidRPr="00ED28D1">
        <w:rPr>
          <w:b/>
          <w:bCs/>
          <w:i/>
          <w:iCs/>
          <w:lang w:val="en-NZ"/>
        </w:rPr>
        <w:t xml:space="preserve"> contributing member </w:t>
      </w:r>
    </w:p>
    <w:p w14:paraId="46ECF2FB" w14:textId="77777777" w:rsidR="002D3DAC" w:rsidRPr="00ED28D1" w:rsidRDefault="002D3DAC" w:rsidP="002D3DAC">
      <w:pPr>
        <w:pStyle w:val="ListParagraph"/>
        <w:numPr>
          <w:ilvl w:val="0"/>
          <w:numId w:val="37"/>
        </w:numPr>
        <w:tabs>
          <w:tab w:val="num" w:pos="720"/>
        </w:tabs>
        <w:spacing w:after="120"/>
        <w:rPr>
          <w:lang w:val="en-NZ"/>
        </w:rPr>
      </w:pPr>
      <w:r w:rsidRPr="00ED28D1">
        <w:rPr>
          <w:lang w:val="en-NZ"/>
        </w:rPr>
        <w:t xml:space="preserve">Made the agreed monthly monetary contribution to the Trust, </w:t>
      </w:r>
      <w:r w:rsidRPr="00ED28D1">
        <w:rPr>
          <w:b/>
          <w:bCs/>
          <w:lang w:val="en-NZ"/>
        </w:rPr>
        <w:t>or</w:t>
      </w:r>
    </w:p>
    <w:p w14:paraId="0B3274BB" w14:textId="77777777" w:rsidR="002D3DAC" w:rsidRPr="00ED28D1" w:rsidRDefault="002D3DAC" w:rsidP="002D3DAC">
      <w:pPr>
        <w:numPr>
          <w:ilvl w:val="0"/>
          <w:numId w:val="36"/>
        </w:numPr>
        <w:spacing w:after="120"/>
        <w:rPr>
          <w:lang w:val="en-NZ"/>
        </w:rPr>
      </w:pPr>
      <w:r w:rsidRPr="00ED28D1">
        <w:rPr>
          <w:lang w:val="en-NZ"/>
        </w:rPr>
        <w:t xml:space="preserve">Provided </w:t>
      </w:r>
      <w:r w:rsidRPr="00ED28D1">
        <w:rPr>
          <w:i/>
          <w:iCs/>
          <w:lang w:val="en-NZ"/>
        </w:rPr>
        <w:t>approved</w:t>
      </w:r>
      <w:r w:rsidRPr="00ED28D1">
        <w:rPr>
          <w:lang w:val="en-NZ"/>
        </w:rPr>
        <w:t xml:space="preserve"> non-financial contributions, such as materials, resources, or mahi (e.g. urupā maintenance), as recorded and confirmed by the Trustees.</w:t>
      </w:r>
    </w:p>
    <w:p w14:paraId="29B4F2D7" w14:textId="77777777" w:rsidR="002D3DAC" w:rsidRPr="00ED28D1" w:rsidRDefault="002D3DAC" w:rsidP="002D3DAC">
      <w:pPr>
        <w:spacing w:after="120"/>
        <w:rPr>
          <w:lang w:val="en-NZ"/>
        </w:rPr>
      </w:pPr>
      <w:r w:rsidRPr="00ED28D1">
        <w:rPr>
          <w:lang w:val="en-NZ"/>
        </w:rPr>
        <w:t>All contributions—monetary or non-monetary—must be acknowledged in the Trust records and confirmed by at least two Trustees to qualify.</w:t>
      </w:r>
    </w:p>
    <w:p w14:paraId="4E9F829B" w14:textId="1D2B50A8" w:rsidR="002D3DAC" w:rsidRPr="002D3DAC" w:rsidRDefault="002D3DAC" w:rsidP="003D0A70">
      <w:pPr>
        <w:spacing w:after="120"/>
        <w:rPr>
          <w:rFonts w:ascii="Calibri" w:eastAsia="Calibri" w:hAnsi="Calibri"/>
        </w:rPr>
      </w:pPr>
      <w:r w:rsidRPr="002D3DAC">
        <w:rPr>
          <w:rFonts w:ascii="Calibri" w:eastAsia="Calibri" w:hAnsi="Calibri"/>
        </w:rPr>
        <w:t>A roll of financial members will be maintained and updated quarterly by the Secretary and Treasurer. This list will be used to verify voting eligibility at AGMs and SGMs and made available prior to any vot</w:t>
      </w:r>
      <w:r>
        <w:rPr>
          <w:rFonts w:ascii="Calibri" w:eastAsia="Calibri" w:hAnsi="Calibri"/>
        </w:rPr>
        <w:t>ing.</w:t>
      </w:r>
    </w:p>
    <w:p w14:paraId="2A95E97F" w14:textId="77777777" w:rsidR="00ED28D1" w:rsidRDefault="00ED28D1" w:rsidP="003D0A70">
      <w:pPr>
        <w:spacing w:after="120"/>
      </w:pPr>
    </w:p>
    <w:p w14:paraId="079283C6" w14:textId="77777777" w:rsidR="004C43E4" w:rsidRPr="00E92330" w:rsidRDefault="00000000" w:rsidP="003D0A70">
      <w:pPr>
        <w:spacing w:after="120"/>
      </w:pPr>
      <w:r>
        <w:rPr>
          <w:rFonts w:ascii="Calibri" w:eastAsia="Calibri" w:hAnsi="Calibri"/>
        </w:rPr>
        <w:pict w14:anchorId="18DA8175">
          <v:rect id="_x0000_i1025" style="width:0;height:1.5pt" o:hralign="center" o:hrstd="t" o:hr="t" fillcolor="#a0a0a0" stroked="f"/>
        </w:pict>
      </w:r>
    </w:p>
    <w:p w14:paraId="1AD5E985" w14:textId="77777777" w:rsidR="004C43E4" w:rsidRPr="00B36C30" w:rsidRDefault="004C43E4" w:rsidP="003D0A70">
      <w:pPr>
        <w:spacing w:after="120"/>
        <w:rPr>
          <w:rFonts w:asciiTheme="majorHAnsi" w:hAnsiTheme="majorHAnsi" w:cstheme="majorHAnsi"/>
          <w:color w:val="0070C0"/>
          <w:sz w:val="28"/>
          <w:szCs w:val="28"/>
        </w:rPr>
      </w:pPr>
      <w:r w:rsidRPr="00B36C30">
        <w:rPr>
          <w:rFonts w:asciiTheme="majorHAnsi" w:eastAsia="Calibri" w:hAnsiTheme="majorHAnsi" w:cstheme="majorHAnsi"/>
          <w:b/>
          <w:bCs/>
          <w:color w:val="0070C0"/>
          <w:szCs w:val="28"/>
        </w:rPr>
        <w:t xml:space="preserve">2. </w:t>
      </w:r>
      <w:r w:rsidR="00B36C30">
        <w:rPr>
          <w:rFonts w:asciiTheme="majorHAnsi" w:eastAsia="Calibri" w:hAnsiTheme="majorHAnsi" w:cstheme="majorHAnsi"/>
          <w:b/>
          <w:bCs/>
          <w:color w:val="0070C0"/>
          <w:szCs w:val="28"/>
        </w:rPr>
        <w:t>Life Interest and Acknowledgement</w:t>
      </w:r>
    </w:p>
    <w:p w14:paraId="1B6C5BB3" w14:textId="789F1232" w:rsidR="004C43E4" w:rsidRPr="00E92330" w:rsidRDefault="004C43E4" w:rsidP="003D0A70">
      <w:pPr>
        <w:spacing w:after="120"/>
      </w:pPr>
      <w:r w:rsidRPr="00E92330">
        <w:rPr>
          <w:rFonts w:ascii="Calibri" w:eastAsia="Calibri" w:hAnsi="Calibri"/>
          <w:b/>
          <w:bCs/>
        </w:rPr>
        <w:t>2.1 Life Interest Clause – Noelene Roka Danford:</w:t>
      </w:r>
      <w:r w:rsidRPr="00E92330">
        <w:rPr>
          <w:rFonts w:ascii="Calibri" w:eastAsia="Calibri" w:hAnsi="Calibri"/>
        </w:rPr>
        <w:br/>
        <w:t xml:space="preserve">Noelene Roka Danford shall retain her </w:t>
      </w:r>
      <w:r w:rsidRPr="00E92330">
        <w:rPr>
          <w:rFonts w:ascii="Calibri" w:eastAsia="Calibri" w:hAnsi="Calibri"/>
          <w:b/>
          <w:bCs/>
        </w:rPr>
        <w:t>life interest</w:t>
      </w:r>
      <w:r w:rsidRPr="00E92330">
        <w:rPr>
          <w:rFonts w:ascii="Calibri" w:eastAsia="Calibri" w:hAnsi="Calibri"/>
        </w:rPr>
        <w:t xml:space="preserve"> in</w:t>
      </w:r>
      <w:r w:rsidR="00A81B87">
        <w:rPr>
          <w:rFonts w:ascii="Calibri" w:eastAsia="Calibri" w:hAnsi="Calibri"/>
        </w:rPr>
        <w:t xml:space="preserve"> the</w:t>
      </w:r>
      <w:r w:rsidRPr="00E92330">
        <w:rPr>
          <w:rFonts w:ascii="Calibri" w:eastAsia="Calibri" w:hAnsi="Calibri"/>
        </w:rPr>
        <w:t xml:space="preserve"> shares vested in this trust. Upon her passing, </w:t>
      </w:r>
      <w:r w:rsidRPr="00E92330">
        <w:rPr>
          <w:rFonts w:ascii="Calibri" w:eastAsia="Calibri" w:hAnsi="Calibri"/>
          <w:b/>
          <w:bCs/>
        </w:rPr>
        <w:t>all dividends will be redirected to the Taumore Trustees</w:t>
      </w:r>
      <w:r w:rsidRPr="00E92330">
        <w:rPr>
          <w:rFonts w:ascii="Calibri" w:eastAsia="Calibri" w:hAnsi="Calibri"/>
        </w:rPr>
        <w:t xml:space="preserve"> to be administered </w:t>
      </w:r>
      <w:r w:rsidRPr="00E92330">
        <w:rPr>
          <w:rFonts w:ascii="Calibri" w:eastAsia="Calibri" w:hAnsi="Calibri"/>
          <w:b/>
          <w:bCs/>
        </w:rPr>
        <w:t>for the collective benefit of all registered beneficiaries</w:t>
      </w:r>
      <w:r w:rsidRPr="00E92330">
        <w:rPr>
          <w:rFonts w:ascii="Calibri" w:eastAsia="Calibri" w:hAnsi="Calibri"/>
        </w:rPr>
        <w:t>.</w:t>
      </w:r>
    </w:p>
    <w:p w14:paraId="70054EBD" w14:textId="77777777" w:rsidR="00ED28D1" w:rsidRDefault="004C43E4" w:rsidP="003D0A70">
      <w:pPr>
        <w:spacing w:after="120"/>
        <w:rPr>
          <w:rFonts w:ascii="Calibri" w:eastAsia="Calibri" w:hAnsi="Calibri"/>
        </w:rPr>
      </w:pPr>
      <w:r w:rsidRPr="00E92330">
        <w:rPr>
          <w:rFonts w:ascii="Calibri" w:eastAsia="Calibri" w:hAnsi="Calibri"/>
          <w:b/>
          <w:bCs/>
        </w:rPr>
        <w:t>2.2 Acknowledgements:</w:t>
      </w:r>
      <w:r w:rsidRPr="00E92330">
        <w:rPr>
          <w:rFonts w:ascii="Calibri" w:eastAsia="Calibri" w:hAnsi="Calibri"/>
        </w:rPr>
        <w:br/>
        <w:t xml:space="preserve">This trust acknowledges the vision and provisions made by </w:t>
      </w:r>
      <w:r w:rsidRPr="00E92330">
        <w:rPr>
          <w:rFonts w:ascii="Calibri" w:eastAsia="Calibri" w:hAnsi="Calibri"/>
          <w:b/>
          <w:bCs/>
        </w:rPr>
        <w:t>Uncle William Thomas (Billy) Castle</w:t>
      </w:r>
      <w:r w:rsidRPr="00E92330">
        <w:rPr>
          <w:rFonts w:ascii="Calibri" w:eastAsia="Calibri" w:hAnsi="Calibri"/>
        </w:rPr>
        <w:t xml:space="preserve">, whose </w:t>
      </w:r>
      <w:r w:rsidR="00ED28D1" w:rsidRPr="00ED28D1">
        <w:rPr>
          <w:rFonts w:ascii="Calibri" w:eastAsia="Calibri" w:hAnsi="Calibri"/>
        </w:rPr>
        <w:t>final purpose for this whenu</w:t>
      </w:r>
      <w:r w:rsidR="00ED28D1">
        <w:rPr>
          <w:rFonts w:ascii="Calibri" w:eastAsia="Calibri" w:hAnsi="Calibri"/>
        </w:rPr>
        <w:t xml:space="preserve">a </w:t>
      </w:r>
      <w:r w:rsidR="00ED28D1" w:rsidRPr="00ED28D1">
        <w:rPr>
          <w:rFonts w:ascii="Calibri" w:eastAsia="Calibri" w:hAnsi="Calibri"/>
        </w:rPr>
        <w:t>for the collective good of all Uri.</w:t>
      </w:r>
    </w:p>
    <w:p w14:paraId="454E68C1" w14:textId="7642C74B" w:rsidR="004C43E4" w:rsidRPr="00E92330" w:rsidRDefault="004C43E4" w:rsidP="003D0A70">
      <w:pPr>
        <w:spacing w:after="120"/>
      </w:pPr>
      <w:r w:rsidRPr="00E92330">
        <w:rPr>
          <w:rFonts w:ascii="Calibri" w:eastAsia="Calibri" w:hAnsi="Calibri"/>
        </w:rPr>
        <w:t xml:space="preserve"> </w:t>
      </w:r>
      <w:r w:rsidR="00ED28D1" w:rsidRPr="00ED28D1">
        <w:rPr>
          <w:rFonts w:ascii="Calibri" w:eastAsia="Calibri" w:hAnsi="Calibri"/>
        </w:rPr>
        <w:t>It also gratefully acknowledges the selfless contribution of Noelene Roka Danford (nee Rhind) in returning the whenua stated</w:t>
      </w:r>
      <w:r w:rsidR="00ED28D1">
        <w:rPr>
          <w:rFonts w:ascii="Calibri" w:eastAsia="Calibri" w:hAnsi="Calibri"/>
        </w:rPr>
        <w:t xml:space="preserve"> </w:t>
      </w:r>
      <w:r w:rsidR="00ED28D1" w:rsidRPr="00ED28D1">
        <w:rPr>
          <w:rFonts w:ascii="Calibri" w:eastAsia="Calibri" w:hAnsi="Calibri"/>
        </w:rPr>
        <w:t xml:space="preserve">in Uncle William Thomas (Billy) Castle’s final will to the whanau and the fulfillment of his wishes that all Uri benefit from this whenua. </w:t>
      </w:r>
      <w:r w:rsidR="00000000">
        <w:rPr>
          <w:rFonts w:ascii="Calibri" w:eastAsia="Calibri" w:hAnsi="Calibri"/>
        </w:rPr>
        <w:pict w14:anchorId="11A513AA">
          <v:rect id="_x0000_i1026" style="width:0;height:1.5pt" o:hralign="center" o:hrstd="t" o:hr="t" fillcolor="#a0a0a0" stroked="f"/>
        </w:pict>
      </w:r>
    </w:p>
    <w:p w14:paraId="6C159E22" w14:textId="77777777" w:rsidR="004C43E4" w:rsidRDefault="004C43E4" w:rsidP="003D0A70">
      <w:pPr>
        <w:spacing w:after="120"/>
        <w:rPr>
          <w:b/>
          <w:bCs/>
        </w:rPr>
      </w:pPr>
    </w:p>
    <w:p w14:paraId="14607F62" w14:textId="77777777" w:rsidR="00B36C30" w:rsidRDefault="00B36C30" w:rsidP="003D0A70">
      <w:pPr>
        <w:spacing w:after="120"/>
        <w:rPr>
          <w:rFonts w:asciiTheme="majorHAnsi" w:hAnsiTheme="majorHAnsi" w:cstheme="majorHAnsi"/>
          <w:b/>
          <w:bCs/>
          <w:color w:val="0070C0"/>
          <w:sz w:val="28"/>
          <w:szCs w:val="28"/>
        </w:rPr>
      </w:pPr>
    </w:p>
    <w:p w14:paraId="55037DFC" w14:textId="77777777" w:rsidR="003D0A70" w:rsidRDefault="003D0A70" w:rsidP="003D0A70">
      <w:pPr>
        <w:spacing w:after="120"/>
        <w:rPr>
          <w:rFonts w:asciiTheme="majorHAnsi" w:hAnsiTheme="majorHAnsi" w:cstheme="majorHAnsi"/>
          <w:b/>
          <w:bCs/>
          <w:color w:val="0070C0"/>
          <w:sz w:val="28"/>
          <w:szCs w:val="28"/>
        </w:rPr>
      </w:pPr>
    </w:p>
    <w:p w14:paraId="289712C7" w14:textId="77777777" w:rsidR="0036435F" w:rsidRDefault="0036435F" w:rsidP="003D0A70">
      <w:pPr>
        <w:spacing w:after="120"/>
        <w:rPr>
          <w:rFonts w:asciiTheme="majorHAnsi" w:eastAsia="Calibri" w:hAnsiTheme="majorHAnsi" w:cstheme="majorHAnsi"/>
          <w:b/>
          <w:bCs/>
          <w:color w:val="0070C0"/>
          <w:szCs w:val="28"/>
        </w:rPr>
      </w:pPr>
    </w:p>
    <w:p w14:paraId="02050CE9" w14:textId="111D356B" w:rsidR="00B36C30" w:rsidRPr="00B36C30" w:rsidRDefault="00B36C30" w:rsidP="003D0A70">
      <w:pPr>
        <w:spacing w:after="120"/>
        <w:rPr>
          <w:rFonts w:asciiTheme="majorHAnsi" w:hAnsiTheme="majorHAnsi" w:cstheme="majorHAnsi"/>
          <w:color w:val="0070C0"/>
          <w:sz w:val="28"/>
          <w:szCs w:val="28"/>
        </w:rPr>
      </w:pPr>
      <w:r>
        <w:rPr>
          <w:rFonts w:asciiTheme="majorHAnsi" w:eastAsia="Calibri" w:hAnsiTheme="majorHAnsi" w:cstheme="majorHAnsi"/>
          <w:b/>
          <w:bCs/>
          <w:color w:val="0070C0"/>
          <w:szCs w:val="28"/>
        </w:rPr>
        <w:t>3</w:t>
      </w:r>
      <w:r w:rsidRPr="00B36C30">
        <w:rPr>
          <w:rFonts w:asciiTheme="majorHAnsi" w:eastAsia="Calibri" w:hAnsiTheme="majorHAnsi" w:cstheme="majorHAnsi"/>
          <w:b/>
          <w:bCs/>
          <w:color w:val="0070C0"/>
          <w:szCs w:val="28"/>
        </w:rPr>
        <w:t xml:space="preserve">. </w:t>
      </w:r>
      <w:r>
        <w:rPr>
          <w:rFonts w:asciiTheme="majorHAnsi" w:eastAsia="Calibri" w:hAnsiTheme="majorHAnsi" w:cstheme="majorHAnsi"/>
          <w:b/>
          <w:bCs/>
          <w:color w:val="0070C0"/>
          <w:szCs w:val="28"/>
        </w:rPr>
        <w:t>Foundational Protection Clauses</w:t>
      </w:r>
    </w:p>
    <w:p w14:paraId="16CCEA63" w14:textId="77777777" w:rsidR="004C43E4" w:rsidRPr="00E92330" w:rsidRDefault="004C43E4" w:rsidP="003D0A70">
      <w:pPr>
        <w:spacing w:after="120"/>
      </w:pPr>
      <w:r w:rsidRPr="00E92330">
        <w:rPr>
          <w:rFonts w:ascii="Calibri" w:eastAsia="Calibri" w:hAnsi="Calibri"/>
          <w:b/>
          <w:bCs/>
        </w:rPr>
        <w:t>3.1 Purpose and Legacy:</w:t>
      </w:r>
      <w:r w:rsidRPr="00E92330">
        <w:rPr>
          <w:rFonts w:ascii="Calibri" w:eastAsia="Calibri" w:hAnsi="Calibri"/>
        </w:rPr>
        <w:br/>
        <w:t xml:space="preserve">The primary purpose of the trust is to </w:t>
      </w:r>
      <w:r w:rsidRPr="00E92330">
        <w:rPr>
          <w:rFonts w:ascii="Calibri" w:eastAsia="Calibri" w:hAnsi="Calibri"/>
          <w:b/>
          <w:bCs/>
        </w:rPr>
        <w:t>preserve and protect the whenua for future generations</w:t>
      </w:r>
      <w:r w:rsidRPr="00E92330">
        <w:rPr>
          <w:rFonts w:ascii="Calibri" w:eastAsia="Calibri" w:hAnsi="Calibri"/>
        </w:rPr>
        <w:t>, and to honour the legacy and wishes of Uncle Billy and the Castle line.</w:t>
      </w:r>
    </w:p>
    <w:p w14:paraId="4E48A418" w14:textId="77777777" w:rsidR="004C43E4" w:rsidRPr="00E92330" w:rsidRDefault="004C43E4" w:rsidP="003D0A70">
      <w:pPr>
        <w:spacing w:after="120"/>
      </w:pPr>
      <w:r w:rsidRPr="00E92330">
        <w:rPr>
          <w:rFonts w:ascii="Calibri" w:eastAsia="Calibri" w:hAnsi="Calibri"/>
          <w:b/>
          <w:bCs/>
        </w:rPr>
        <w:t>3.2 Whenua Protection Clause:</w:t>
      </w:r>
      <w:r w:rsidRPr="00E92330">
        <w:rPr>
          <w:rFonts w:ascii="Calibri" w:eastAsia="Calibri" w:hAnsi="Calibri"/>
        </w:rPr>
        <w:br/>
        <w:t xml:space="preserve">The whenua vested in this trust shall </w:t>
      </w:r>
      <w:r w:rsidRPr="00E92330">
        <w:rPr>
          <w:rFonts w:ascii="Calibri" w:eastAsia="Calibri" w:hAnsi="Calibri"/>
          <w:b/>
          <w:bCs/>
        </w:rPr>
        <w:t>never be sold or alienated</w:t>
      </w:r>
      <w:r w:rsidRPr="00E92330">
        <w:rPr>
          <w:rFonts w:ascii="Calibri" w:eastAsia="Calibri" w:hAnsi="Calibri"/>
        </w:rPr>
        <w:t>, and all decisions relating to leases, development, or occupation must be made in alignment with the Trust’s purpose and with the informed consent of contributing whānau.</w:t>
      </w:r>
    </w:p>
    <w:p w14:paraId="53CC0C2D" w14:textId="77777777" w:rsidR="004C43E4" w:rsidRPr="00E92330" w:rsidRDefault="004C43E4" w:rsidP="003D0A70">
      <w:pPr>
        <w:spacing w:after="120"/>
      </w:pPr>
      <w:r w:rsidRPr="00E92330">
        <w:rPr>
          <w:rFonts w:ascii="Calibri" w:eastAsia="Calibri" w:hAnsi="Calibri"/>
          <w:b/>
          <w:bCs/>
        </w:rPr>
        <w:t>3.</w:t>
      </w:r>
      <w:r>
        <w:rPr>
          <w:rFonts w:ascii="Calibri" w:eastAsia="Calibri" w:hAnsi="Calibri"/>
          <w:b/>
          <w:bCs/>
        </w:rPr>
        <w:t>3</w:t>
      </w:r>
      <w:r w:rsidRPr="00E92330">
        <w:rPr>
          <w:rFonts w:ascii="Calibri" w:eastAsia="Calibri" w:hAnsi="Calibri"/>
          <w:b/>
          <w:bCs/>
        </w:rPr>
        <w:t xml:space="preserve"> Trustee Conduct and Transparency:</w:t>
      </w:r>
      <w:r w:rsidRPr="00E92330">
        <w:rPr>
          <w:rFonts w:ascii="Calibri" w:eastAsia="Calibri" w:hAnsi="Calibri"/>
        </w:rPr>
        <w:br/>
        <w:t>Trustees must act in good faith, with honesty, transparency, and in the best interests of all beneficiaries. They must exercise a high standard of care, diligence, and skill consistent with the duties of trustees. Minutes, financial records, and all major decisions shall be reported at each AGM and made available upon request to contributing members.</w:t>
      </w:r>
    </w:p>
    <w:p w14:paraId="55FC03EC" w14:textId="77777777" w:rsidR="004C43E4" w:rsidRPr="00E92330" w:rsidRDefault="004C43E4" w:rsidP="003D0A70">
      <w:pPr>
        <w:spacing w:after="120"/>
      </w:pPr>
      <w:r w:rsidRPr="00E92330">
        <w:rPr>
          <w:rFonts w:ascii="Calibri" w:eastAsia="Calibri" w:hAnsi="Calibri"/>
          <w:b/>
          <w:bCs/>
        </w:rPr>
        <w:t>3.</w:t>
      </w:r>
      <w:r>
        <w:rPr>
          <w:rFonts w:ascii="Calibri" w:eastAsia="Calibri" w:hAnsi="Calibri"/>
          <w:b/>
          <w:bCs/>
        </w:rPr>
        <w:t>4</w:t>
      </w:r>
      <w:r w:rsidRPr="00E92330">
        <w:rPr>
          <w:rFonts w:ascii="Calibri" w:eastAsia="Calibri" w:hAnsi="Calibri"/>
          <w:b/>
          <w:bCs/>
        </w:rPr>
        <w:t xml:space="preserve"> Trustee Officer Roles:</w:t>
      </w:r>
      <w:r w:rsidRPr="00E92330">
        <w:rPr>
          <w:rFonts w:ascii="Calibri" w:eastAsia="Calibri" w:hAnsi="Calibri"/>
        </w:rPr>
        <w:br/>
        <w:t>From among the elected trustees, the following officer roles shall be appointed by majority vote at the first trustee meeting following each election cycle:</w:t>
      </w:r>
    </w:p>
    <w:p w14:paraId="402F4BF4" w14:textId="77777777" w:rsidR="004C43E4" w:rsidRPr="00E92330" w:rsidRDefault="004C43E4" w:rsidP="003D0A70">
      <w:pPr>
        <w:numPr>
          <w:ilvl w:val="0"/>
          <w:numId w:val="10"/>
        </w:numPr>
        <w:spacing w:after="120"/>
      </w:pPr>
      <w:r w:rsidRPr="00E92330">
        <w:rPr>
          <w:rFonts w:ascii="Calibri" w:eastAsia="Calibri" w:hAnsi="Calibri"/>
          <w:b/>
          <w:bCs/>
        </w:rPr>
        <w:t>Chairperson</w:t>
      </w:r>
      <w:r w:rsidRPr="00E92330">
        <w:rPr>
          <w:rFonts w:ascii="Calibri" w:eastAsia="Calibri" w:hAnsi="Calibri"/>
        </w:rPr>
        <w:t xml:space="preserve"> – to lead trustee meetings, represent the Trust, and oversee general operations.</w:t>
      </w:r>
    </w:p>
    <w:p w14:paraId="71819399" w14:textId="77777777" w:rsidR="004C43E4" w:rsidRPr="00E92330" w:rsidRDefault="004C43E4" w:rsidP="003D0A70">
      <w:pPr>
        <w:numPr>
          <w:ilvl w:val="0"/>
          <w:numId w:val="10"/>
        </w:numPr>
        <w:spacing w:after="120"/>
      </w:pPr>
      <w:r w:rsidRPr="00E92330">
        <w:rPr>
          <w:rFonts w:ascii="Calibri" w:eastAsia="Calibri" w:hAnsi="Calibri"/>
          <w:b/>
          <w:bCs/>
        </w:rPr>
        <w:t>Co-Chairperson</w:t>
      </w:r>
      <w:r w:rsidRPr="00E92330">
        <w:rPr>
          <w:rFonts w:ascii="Calibri" w:eastAsia="Calibri" w:hAnsi="Calibri"/>
        </w:rPr>
        <w:t xml:space="preserve"> – to support the Chairperson and act in their place when required.</w:t>
      </w:r>
    </w:p>
    <w:p w14:paraId="13084B1F" w14:textId="77777777" w:rsidR="004C43E4" w:rsidRPr="00E92330" w:rsidRDefault="004C43E4" w:rsidP="003D0A70">
      <w:pPr>
        <w:numPr>
          <w:ilvl w:val="0"/>
          <w:numId w:val="10"/>
        </w:numPr>
        <w:spacing w:after="120"/>
      </w:pPr>
      <w:r w:rsidRPr="00E92330">
        <w:rPr>
          <w:rFonts w:ascii="Calibri" w:eastAsia="Calibri" w:hAnsi="Calibri"/>
          <w:b/>
          <w:bCs/>
        </w:rPr>
        <w:t>Secretary</w:t>
      </w:r>
      <w:r w:rsidRPr="00E92330">
        <w:rPr>
          <w:rFonts w:ascii="Calibri" w:eastAsia="Calibri" w:hAnsi="Calibri"/>
        </w:rPr>
        <w:t xml:space="preserve"> – to record minutes, manage communications, and maintain documentation.</w:t>
      </w:r>
    </w:p>
    <w:p w14:paraId="4036A586" w14:textId="77777777" w:rsidR="004C43E4" w:rsidRPr="00E92330" w:rsidRDefault="004C43E4" w:rsidP="003D0A70">
      <w:pPr>
        <w:numPr>
          <w:ilvl w:val="0"/>
          <w:numId w:val="10"/>
        </w:numPr>
        <w:spacing w:after="120"/>
      </w:pPr>
      <w:r w:rsidRPr="00E92330">
        <w:rPr>
          <w:rFonts w:ascii="Calibri" w:eastAsia="Calibri" w:hAnsi="Calibri"/>
          <w:b/>
          <w:bCs/>
        </w:rPr>
        <w:t>Treasurer(s)</w:t>
      </w:r>
      <w:r w:rsidRPr="00E92330">
        <w:rPr>
          <w:rFonts w:ascii="Calibri" w:eastAsia="Calibri" w:hAnsi="Calibri"/>
        </w:rPr>
        <w:t xml:space="preserve"> – one or more trustees may be appointed as Co-Treasurers, who will work collaboratively to manage trust finances, prepare financial reports, and ensure oversight and accountability.</w:t>
      </w:r>
    </w:p>
    <w:p w14:paraId="0B78E78A" w14:textId="77777777" w:rsidR="003D0A70" w:rsidRDefault="004C43E4" w:rsidP="003D0A70">
      <w:pPr>
        <w:spacing w:after="120"/>
      </w:pPr>
      <w:r w:rsidRPr="00E92330">
        <w:rPr>
          <w:rFonts w:ascii="Calibri" w:eastAsia="Calibri" w:hAnsi="Calibri"/>
          <w:b/>
          <w:bCs/>
        </w:rPr>
        <w:t>3.</w:t>
      </w:r>
      <w:r>
        <w:rPr>
          <w:rFonts w:ascii="Calibri" w:eastAsia="Calibri" w:hAnsi="Calibri"/>
          <w:b/>
          <w:bCs/>
        </w:rPr>
        <w:t>5</w:t>
      </w:r>
      <w:r w:rsidRPr="00E92330">
        <w:rPr>
          <w:rFonts w:ascii="Calibri" w:eastAsia="Calibri" w:hAnsi="Calibri"/>
          <w:b/>
          <w:bCs/>
        </w:rPr>
        <w:t xml:space="preserve"> Additional Roles and Advisory Acknowledgement:</w:t>
      </w:r>
      <w:r w:rsidRPr="00E92330">
        <w:rPr>
          <w:rFonts w:ascii="Calibri" w:eastAsia="Calibri" w:hAnsi="Calibri"/>
        </w:rPr>
        <w:br/>
        <w:t xml:space="preserve">All trustees have an equal voice and responsibility in decision-making regardless of whether they hold an officer role. Trustees who are not currently appointed to an officer position may serve as </w:t>
      </w:r>
      <w:r w:rsidRPr="00E92330">
        <w:rPr>
          <w:rFonts w:ascii="Calibri" w:eastAsia="Calibri" w:hAnsi="Calibri"/>
          <w:b/>
          <w:bCs/>
        </w:rPr>
        <w:t>Advisory Trustees</w:t>
      </w:r>
      <w:r w:rsidRPr="00E92330">
        <w:rPr>
          <w:rFonts w:ascii="Calibri" w:eastAsia="Calibri" w:hAnsi="Calibri"/>
        </w:rPr>
        <w:t>, supporting kaupapa through delegated tasks, subcommittees, and contributing institutional knowledge. This ensures inclusivity, acknowledges the value of all contributions, and affirms the importance of each trustee.</w:t>
      </w:r>
    </w:p>
    <w:p w14:paraId="38575527" w14:textId="77777777" w:rsidR="004C43E4" w:rsidRPr="004C43E4" w:rsidRDefault="004C43E4" w:rsidP="003D0A70">
      <w:pPr>
        <w:spacing w:after="120"/>
        <w:rPr>
          <w:b/>
          <w:bCs/>
        </w:rPr>
      </w:pPr>
      <w:r w:rsidRPr="004C43E4">
        <w:rPr>
          <w:rFonts w:ascii="Calibri" w:eastAsia="Calibri" w:hAnsi="Calibri"/>
          <w:b/>
          <w:bCs/>
        </w:rPr>
        <w:t>The Trust also acknowledges the role of rangatahi in succession and leadership. One or more trustees may be designated as Rangatahi Representatives, with specific focus on intergenerational perspectives and youth engagement within whānau initiatives</w:t>
      </w:r>
    </w:p>
    <w:p w14:paraId="096A7F9B" w14:textId="77777777" w:rsidR="00C179AC" w:rsidRPr="004C43E4" w:rsidRDefault="004C43E4" w:rsidP="003D0A70">
      <w:pPr>
        <w:pStyle w:val="Heading1"/>
        <w:spacing w:before="0" w:after="120"/>
        <w:rPr>
          <w:rFonts w:cstheme="majorHAnsi"/>
          <w:color w:val="0070C0"/>
        </w:rPr>
      </w:pPr>
      <w:r w:rsidRPr="004C43E4">
        <w:rPr>
          <w:rFonts w:ascii="Calibri" w:eastAsia="Calibri" w:hAnsi="Calibri" w:cstheme="majorHAnsi"/>
          <w:color w:val="0070C0"/>
          <w:sz w:val="22"/>
        </w:rPr>
        <w:lastRenderedPageBreak/>
        <w:t xml:space="preserve"> </w:t>
      </w:r>
      <w:r w:rsidR="00B36C30">
        <w:rPr>
          <w:rFonts w:ascii="Calibri" w:eastAsia="Calibri" w:hAnsi="Calibri" w:cstheme="majorHAnsi"/>
          <w:color w:val="0070C0"/>
          <w:sz w:val="22"/>
        </w:rPr>
        <w:t>4</w:t>
      </w:r>
      <w:r w:rsidRPr="004C43E4">
        <w:rPr>
          <w:rFonts w:ascii="Calibri" w:eastAsia="Calibri" w:hAnsi="Calibri" w:cstheme="majorHAnsi"/>
          <w:color w:val="0070C0"/>
          <w:sz w:val="22"/>
        </w:rPr>
        <w:t>. Trustee External Engagement Policy</w:t>
      </w:r>
    </w:p>
    <w:p w14:paraId="55AE06E5" w14:textId="77777777" w:rsidR="00E92E79" w:rsidRPr="00E92E79" w:rsidRDefault="00E92E79" w:rsidP="003D0A70">
      <w:pPr>
        <w:pStyle w:val="Heading1"/>
        <w:spacing w:before="0" w:after="120"/>
        <w:rPr>
          <w:rFonts w:asciiTheme="minorHAnsi" w:hAnsiTheme="minorHAnsi"/>
          <w:color w:val="auto"/>
          <w:sz w:val="22"/>
          <w:szCs w:val="22"/>
          <w:lang w:val="en-NZ"/>
        </w:rPr>
      </w:pPr>
      <w:r w:rsidRPr="00E92E79">
        <w:rPr>
          <w:rFonts w:asciiTheme="minorHAnsi" w:eastAsia="Calibri" w:hAnsiTheme="minorHAnsi"/>
          <w:color w:val="auto"/>
          <w:sz w:val="22"/>
          <w:szCs w:val="22"/>
          <w:lang w:val="en-NZ"/>
        </w:rPr>
        <w:t>4.1 Collective Trustee Representation</w:t>
      </w:r>
    </w:p>
    <w:p w14:paraId="104B51C4" w14:textId="77777777" w:rsidR="00E92E79" w:rsidRPr="00E92E79" w:rsidRDefault="00E92E79" w:rsidP="003D0A70">
      <w:pPr>
        <w:pStyle w:val="Heading1"/>
        <w:numPr>
          <w:ilvl w:val="0"/>
          <w:numId w:val="18"/>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All trustees are bound to act collectively when representing the Taumore Ahu Whenua Trust.</w:t>
      </w:r>
    </w:p>
    <w:p w14:paraId="348C8620" w14:textId="77777777" w:rsidR="00E92E79" w:rsidRPr="00E92E79" w:rsidRDefault="00E92E79" w:rsidP="003D0A70">
      <w:pPr>
        <w:pStyle w:val="Heading1"/>
        <w:numPr>
          <w:ilvl w:val="0"/>
          <w:numId w:val="18"/>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No individual trustee may represent the Trust at external hui, meetings, or with agencies, landowners, or other trusts unless formally authorised by a trustee resolution.</w:t>
      </w:r>
    </w:p>
    <w:p w14:paraId="0E023CC4" w14:textId="77777777" w:rsidR="00E92E79" w:rsidRPr="00E92E79" w:rsidRDefault="00E92E79" w:rsidP="003D0A70">
      <w:pPr>
        <w:pStyle w:val="Heading1"/>
        <w:numPr>
          <w:ilvl w:val="0"/>
          <w:numId w:val="18"/>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Where a trustee attends a hui or event without authorisation, they do so in a personal capacity only and must not speak on behalf of the Trust or commit the Trust to any outcomes.</w:t>
      </w:r>
    </w:p>
    <w:p w14:paraId="06E1D518" w14:textId="77777777" w:rsidR="00E92E79" w:rsidRPr="00E92E79" w:rsidRDefault="00000000" w:rsidP="003D0A70">
      <w:pPr>
        <w:pStyle w:val="Heading1"/>
        <w:spacing w:before="0" w:after="120"/>
        <w:rPr>
          <w:rFonts w:asciiTheme="minorHAnsi" w:hAnsiTheme="minorHAnsi"/>
          <w:b w:val="0"/>
          <w:bCs w:val="0"/>
          <w:color w:val="auto"/>
          <w:sz w:val="22"/>
          <w:szCs w:val="22"/>
          <w:lang w:val="en-NZ"/>
        </w:rPr>
      </w:pPr>
      <w:r>
        <w:rPr>
          <w:rFonts w:asciiTheme="minorHAnsi" w:eastAsia="Calibri" w:hAnsiTheme="minorHAnsi"/>
          <w:b w:val="0"/>
          <w:bCs w:val="0"/>
          <w:color w:val="auto"/>
          <w:sz w:val="22"/>
          <w:szCs w:val="22"/>
          <w:lang w:val="en-NZ"/>
        </w:rPr>
        <w:pict w14:anchorId="04F0100B">
          <v:rect id="_x0000_i1027" style="width:0;height:1.5pt" o:hralign="center" o:hrstd="t" o:hr="t" fillcolor="#a0a0a0" stroked="f"/>
        </w:pict>
      </w:r>
    </w:p>
    <w:p w14:paraId="20B89B70" w14:textId="77777777" w:rsidR="00E92E79" w:rsidRPr="00E92E79" w:rsidRDefault="00E92E79" w:rsidP="003D0A70">
      <w:pPr>
        <w:pStyle w:val="Heading1"/>
        <w:spacing w:before="0" w:after="120"/>
        <w:rPr>
          <w:rFonts w:asciiTheme="minorHAnsi" w:hAnsiTheme="minorHAnsi"/>
          <w:color w:val="auto"/>
          <w:sz w:val="22"/>
          <w:szCs w:val="22"/>
          <w:lang w:val="en-NZ"/>
        </w:rPr>
      </w:pPr>
      <w:r w:rsidRPr="00E92E79">
        <w:rPr>
          <w:rFonts w:asciiTheme="minorHAnsi" w:eastAsia="Calibri" w:hAnsiTheme="minorHAnsi"/>
          <w:color w:val="auto"/>
          <w:sz w:val="22"/>
          <w:szCs w:val="22"/>
          <w:lang w:val="en-NZ"/>
        </w:rPr>
        <w:t>4.2 External Invitations &amp; Reporting</w:t>
      </w:r>
    </w:p>
    <w:p w14:paraId="652FE77C" w14:textId="77777777" w:rsidR="00E92E79" w:rsidRPr="00E92E79" w:rsidRDefault="00E92E79" w:rsidP="003D0A70">
      <w:pPr>
        <w:pStyle w:val="Heading1"/>
        <w:numPr>
          <w:ilvl w:val="0"/>
          <w:numId w:val="19"/>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Any invitation to attend a hui or forum relating to the whenua, beneficiaries, or Trust kaupapa must be:</w:t>
      </w:r>
    </w:p>
    <w:p w14:paraId="79D06B0B" w14:textId="77777777" w:rsidR="00E92E79" w:rsidRPr="00E92E79" w:rsidRDefault="00E92E79" w:rsidP="003D0A70">
      <w:pPr>
        <w:pStyle w:val="Heading1"/>
        <w:numPr>
          <w:ilvl w:val="1"/>
          <w:numId w:val="19"/>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Shared with all trustees, and</w:t>
      </w:r>
    </w:p>
    <w:p w14:paraId="4BA76D85" w14:textId="77777777" w:rsidR="00E92E79" w:rsidRPr="00E92E79" w:rsidRDefault="00E92E79" w:rsidP="003D0A70">
      <w:pPr>
        <w:pStyle w:val="Heading1"/>
        <w:numPr>
          <w:ilvl w:val="1"/>
          <w:numId w:val="19"/>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Approved via trustee consensus or written resolution before accepting in a representative capacity.</w:t>
      </w:r>
    </w:p>
    <w:p w14:paraId="71217023" w14:textId="77777777" w:rsidR="00E92E79" w:rsidRPr="00E92E79" w:rsidRDefault="00E92E79" w:rsidP="003D0A70">
      <w:pPr>
        <w:pStyle w:val="Heading1"/>
        <w:numPr>
          <w:ilvl w:val="0"/>
          <w:numId w:val="19"/>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All authorised engagements must be:</w:t>
      </w:r>
    </w:p>
    <w:p w14:paraId="2AD7F357" w14:textId="77777777" w:rsidR="00E92E79" w:rsidRPr="00E92E79" w:rsidRDefault="00E92E79" w:rsidP="003D0A70">
      <w:pPr>
        <w:pStyle w:val="Heading1"/>
        <w:numPr>
          <w:ilvl w:val="1"/>
          <w:numId w:val="19"/>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Reported back to the full board,</w:t>
      </w:r>
    </w:p>
    <w:p w14:paraId="399F1790" w14:textId="77777777" w:rsidR="00E92E79" w:rsidRPr="00E92E79" w:rsidRDefault="00E92E79" w:rsidP="003D0A70">
      <w:pPr>
        <w:pStyle w:val="Heading1"/>
        <w:numPr>
          <w:ilvl w:val="1"/>
          <w:numId w:val="19"/>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With hui notes, outcomes, or follow-up actions tabled and filed.</w:t>
      </w:r>
    </w:p>
    <w:p w14:paraId="2757C9AE" w14:textId="77777777" w:rsidR="00E92E79" w:rsidRPr="00E92E79" w:rsidRDefault="00000000" w:rsidP="003D0A70">
      <w:pPr>
        <w:pStyle w:val="Heading1"/>
        <w:spacing w:before="0" w:after="120"/>
        <w:rPr>
          <w:rFonts w:asciiTheme="minorHAnsi" w:hAnsiTheme="minorHAnsi"/>
          <w:b w:val="0"/>
          <w:bCs w:val="0"/>
          <w:color w:val="auto"/>
          <w:sz w:val="22"/>
          <w:szCs w:val="22"/>
          <w:lang w:val="en-NZ"/>
        </w:rPr>
      </w:pPr>
      <w:r>
        <w:rPr>
          <w:rFonts w:asciiTheme="minorHAnsi" w:eastAsia="Calibri" w:hAnsiTheme="minorHAnsi"/>
          <w:b w:val="0"/>
          <w:bCs w:val="0"/>
          <w:color w:val="auto"/>
          <w:sz w:val="22"/>
          <w:szCs w:val="22"/>
          <w:lang w:val="en-NZ"/>
        </w:rPr>
        <w:pict w14:anchorId="08A41AB7">
          <v:rect id="_x0000_i1028" style="width:0;height:1.5pt" o:hralign="center" o:hrstd="t" o:hr="t" fillcolor="#a0a0a0" stroked="f"/>
        </w:pict>
      </w:r>
    </w:p>
    <w:p w14:paraId="6DE0CDEF" w14:textId="77777777" w:rsidR="00E92E79" w:rsidRPr="00E92E79" w:rsidRDefault="00E92E79" w:rsidP="003D0A70">
      <w:pPr>
        <w:pStyle w:val="Heading1"/>
        <w:spacing w:before="0" w:after="120"/>
        <w:rPr>
          <w:rFonts w:asciiTheme="minorHAnsi" w:hAnsiTheme="minorHAnsi"/>
          <w:color w:val="auto"/>
          <w:sz w:val="22"/>
          <w:szCs w:val="22"/>
          <w:lang w:val="en-NZ"/>
        </w:rPr>
      </w:pPr>
      <w:r w:rsidRPr="00E92E79">
        <w:rPr>
          <w:rFonts w:asciiTheme="minorHAnsi" w:eastAsia="Calibri" w:hAnsiTheme="minorHAnsi"/>
          <w:color w:val="auto"/>
          <w:sz w:val="22"/>
          <w:szCs w:val="22"/>
          <w:lang w:val="en-NZ"/>
        </w:rPr>
        <w:t>4.3 Contractor &amp; Employee Engagement</w:t>
      </w:r>
    </w:p>
    <w:p w14:paraId="64492CBA" w14:textId="77777777" w:rsidR="00E92E79" w:rsidRPr="00E92E79" w:rsidRDefault="00E92E79" w:rsidP="003D0A70">
      <w:pPr>
        <w:pStyle w:val="Heading1"/>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To protect the mana of the Trust and ensure proper governance, all engagements involving workers, contractors, or paid support must follow the process below:</w:t>
      </w:r>
    </w:p>
    <w:p w14:paraId="6645D2C7" w14:textId="77777777" w:rsidR="00E92E79" w:rsidRPr="00E92E79" w:rsidRDefault="00E92E79" w:rsidP="003D0A70">
      <w:pPr>
        <w:pStyle w:val="Heading1"/>
        <w:spacing w:before="0" w:after="120"/>
        <w:rPr>
          <w:rFonts w:asciiTheme="minorHAnsi" w:hAnsiTheme="minorHAnsi"/>
          <w:color w:val="auto"/>
          <w:sz w:val="22"/>
          <w:szCs w:val="22"/>
          <w:lang w:val="en-NZ"/>
        </w:rPr>
      </w:pPr>
      <w:r w:rsidRPr="00E92E79">
        <w:rPr>
          <w:rFonts w:asciiTheme="minorHAnsi" w:eastAsia="Calibri" w:hAnsiTheme="minorHAnsi"/>
          <w:color w:val="auto"/>
          <w:sz w:val="22"/>
          <w:szCs w:val="22"/>
          <w:lang w:val="en-NZ"/>
        </w:rPr>
        <w:t>A. Approval &amp; Resolution</w:t>
      </w:r>
    </w:p>
    <w:p w14:paraId="1FB41C1F" w14:textId="77777777" w:rsidR="00E92E79" w:rsidRPr="00E92E79" w:rsidRDefault="00E92E79" w:rsidP="003D0A70">
      <w:pPr>
        <w:pStyle w:val="Heading1"/>
        <w:numPr>
          <w:ilvl w:val="0"/>
          <w:numId w:val="20"/>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All contractor or employee roles must be approved by formal trustee resolution at a meeting or by signed majority.</w:t>
      </w:r>
    </w:p>
    <w:p w14:paraId="5BA7A674" w14:textId="77777777" w:rsidR="00E92E79" w:rsidRPr="00E92E79" w:rsidRDefault="00E92E79" w:rsidP="003D0A70">
      <w:pPr>
        <w:pStyle w:val="Heading1"/>
        <w:numPr>
          <w:ilvl w:val="0"/>
          <w:numId w:val="20"/>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The kaupapa must align with Trust objectives (e.g. papakāinga development, urupā maintenance, administration).</w:t>
      </w:r>
    </w:p>
    <w:p w14:paraId="49A99E23" w14:textId="77777777" w:rsidR="00E92E79" w:rsidRPr="00E92E79" w:rsidRDefault="00E92E79" w:rsidP="003D0A70">
      <w:pPr>
        <w:pStyle w:val="Heading1"/>
        <w:spacing w:before="0" w:after="120"/>
        <w:rPr>
          <w:rFonts w:asciiTheme="minorHAnsi" w:hAnsiTheme="minorHAnsi"/>
          <w:color w:val="auto"/>
          <w:sz w:val="22"/>
          <w:szCs w:val="22"/>
          <w:lang w:val="en-NZ"/>
        </w:rPr>
      </w:pPr>
      <w:r w:rsidRPr="00E92E79">
        <w:rPr>
          <w:rFonts w:asciiTheme="minorHAnsi" w:eastAsia="Calibri" w:hAnsiTheme="minorHAnsi"/>
          <w:color w:val="auto"/>
          <w:sz w:val="22"/>
          <w:szCs w:val="22"/>
          <w:lang w:val="en-NZ"/>
        </w:rPr>
        <w:t>B. Written Agreement Required</w:t>
      </w:r>
    </w:p>
    <w:p w14:paraId="0B247112" w14:textId="77777777" w:rsidR="00E92E79" w:rsidRPr="00E92E79" w:rsidRDefault="00E92E79" w:rsidP="003D0A70">
      <w:pPr>
        <w:pStyle w:val="Heading1"/>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Each engagement must have a signed contract or service agreement that includes:</w:t>
      </w:r>
    </w:p>
    <w:p w14:paraId="1012768A" w14:textId="77777777" w:rsidR="00E92E79" w:rsidRPr="00E92E79" w:rsidRDefault="00E92E79" w:rsidP="003D0A70">
      <w:pPr>
        <w:pStyle w:val="Heading1"/>
        <w:numPr>
          <w:ilvl w:val="0"/>
          <w:numId w:val="21"/>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Job description / scope of work</w:t>
      </w:r>
    </w:p>
    <w:p w14:paraId="2F5A4C0C" w14:textId="77777777" w:rsidR="00E92E79" w:rsidRPr="00E92E79" w:rsidRDefault="00E92E79" w:rsidP="003D0A70">
      <w:pPr>
        <w:pStyle w:val="Heading1"/>
        <w:numPr>
          <w:ilvl w:val="0"/>
          <w:numId w:val="21"/>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Deliverables and timeframes</w:t>
      </w:r>
    </w:p>
    <w:p w14:paraId="36243FE0" w14:textId="77777777" w:rsidR="00E92E79" w:rsidRPr="00E92E79" w:rsidRDefault="00E92E79" w:rsidP="003D0A70">
      <w:pPr>
        <w:pStyle w:val="Heading1"/>
        <w:numPr>
          <w:ilvl w:val="0"/>
          <w:numId w:val="21"/>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lastRenderedPageBreak/>
        <w:t>Payment structure (flat rate, hourly, or milestone-based)</w:t>
      </w:r>
    </w:p>
    <w:p w14:paraId="27B35436" w14:textId="77777777" w:rsidR="00E92E79" w:rsidRPr="00E92E79" w:rsidRDefault="00E92E79" w:rsidP="003D0A70">
      <w:pPr>
        <w:pStyle w:val="Heading1"/>
        <w:numPr>
          <w:ilvl w:val="0"/>
          <w:numId w:val="21"/>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Behavioural expectations (aligned with whānau code of conduct)</w:t>
      </w:r>
    </w:p>
    <w:p w14:paraId="25B25B4F" w14:textId="77777777" w:rsidR="00E92E79" w:rsidRPr="00E92E79" w:rsidRDefault="00E92E79" w:rsidP="003D0A70">
      <w:pPr>
        <w:pStyle w:val="Heading1"/>
        <w:numPr>
          <w:ilvl w:val="0"/>
          <w:numId w:val="21"/>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Reporting and accountability expectations</w:t>
      </w:r>
    </w:p>
    <w:p w14:paraId="4665A84F" w14:textId="77777777" w:rsidR="00E92E79" w:rsidRPr="00E92E79" w:rsidRDefault="00E92E79" w:rsidP="003D0A70">
      <w:pPr>
        <w:pStyle w:val="Heading1"/>
        <w:numPr>
          <w:ilvl w:val="0"/>
          <w:numId w:val="21"/>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Exit or termination clauses</w:t>
      </w:r>
    </w:p>
    <w:p w14:paraId="44F6CAE5" w14:textId="77777777" w:rsidR="00E92E79" w:rsidRPr="00E92E79" w:rsidRDefault="00E92E79" w:rsidP="003D0A70">
      <w:pPr>
        <w:pStyle w:val="Heading1"/>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 template may be used to ensure consistency across all Trust engagements.</w:t>
      </w:r>
    </w:p>
    <w:p w14:paraId="4AD2981F" w14:textId="77777777" w:rsidR="00E92E79" w:rsidRPr="00E92E79" w:rsidRDefault="00E92E79" w:rsidP="003D0A70">
      <w:pPr>
        <w:pStyle w:val="Heading1"/>
        <w:spacing w:before="0" w:after="120"/>
        <w:rPr>
          <w:rFonts w:asciiTheme="minorHAnsi" w:hAnsiTheme="minorHAnsi"/>
          <w:color w:val="auto"/>
          <w:sz w:val="22"/>
          <w:szCs w:val="22"/>
          <w:lang w:val="en-NZ"/>
        </w:rPr>
      </w:pPr>
      <w:r w:rsidRPr="00E92E79">
        <w:rPr>
          <w:rFonts w:asciiTheme="minorHAnsi" w:eastAsia="Calibri" w:hAnsiTheme="minorHAnsi"/>
          <w:color w:val="auto"/>
          <w:sz w:val="22"/>
          <w:szCs w:val="22"/>
          <w:lang w:val="en-NZ"/>
        </w:rPr>
        <w:t>C. Conflict of Interest Declaration</w:t>
      </w:r>
    </w:p>
    <w:p w14:paraId="0C22AA71" w14:textId="77777777" w:rsidR="00E92E79" w:rsidRPr="00E92E79" w:rsidRDefault="00E92E79" w:rsidP="003D0A70">
      <w:pPr>
        <w:pStyle w:val="Heading1"/>
        <w:numPr>
          <w:ilvl w:val="0"/>
          <w:numId w:val="22"/>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Trustees must declare if a proposed contractor or employee is a:</w:t>
      </w:r>
    </w:p>
    <w:p w14:paraId="28F167FA" w14:textId="77777777" w:rsidR="00E92E79" w:rsidRPr="00E92E79" w:rsidRDefault="00E92E79" w:rsidP="003D0A70">
      <w:pPr>
        <w:pStyle w:val="Heading1"/>
        <w:numPr>
          <w:ilvl w:val="1"/>
          <w:numId w:val="22"/>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Spouse, partner, sibling, child, or whānau member</w:t>
      </w:r>
    </w:p>
    <w:p w14:paraId="502E9AC4" w14:textId="77777777" w:rsidR="00E92E79" w:rsidRPr="00E92E79" w:rsidRDefault="00E92E79" w:rsidP="003D0A70">
      <w:pPr>
        <w:pStyle w:val="Heading1"/>
        <w:numPr>
          <w:ilvl w:val="1"/>
          <w:numId w:val="22"/>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Business partner or financial associate</w:t>
      </w:r>
    </w:p>
    <w:p w14:paraId="26F42CD8" w14:textId="77777777" w:rsidR="00E92E79" w:rsidRPr="00E92E79" w:rsidRDefault="00E92E79" w:rsidP="003D0A70">
      <w:pPr>
        <w:pStyle w:val="Heading1"/>
        <w:numPr>
          <w:ilvl w:val="0"/>
          <w:numId w:val="22"/>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That trustee must:</w:t>
      </w:r>
    </w:p>
    <w:p w14:paraId="00691391" w14:textId="77777777" w:rsidR="00E92E79" w:rsidRPr="00E92E79" w:rsidRDefault="00E92E79" w:rsidP="003D0A70">
      <w:pPr>
        <w:pStyle w:val="Heading1"/>
        <w:numPr>
          <w:ilvl w:val="1"/>
          <w:numId w:val="22"/>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Disclose the conflict, and</w:t>
      </w:r>
    </w:p>
    <w:p w14:paraId="5A2064E3" w14:textId="77777777" w:rsidR="00E92E79" w:rsidRPr="00E92E79" w:rsidRDefault="00E92E79" w:rsidP="003D0A70">
      <w:pPr>
        <w:pStyle w:val="Heading1"/>
        <w:numPr>
          <w:ilvl w:val="1"/>
          <w:numId w:val="22"/>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Abstain from discussion and voting</w:t>
      </w:r>
    </w:p>
    <w:p w14:paraId="27CB2FAF" w14:textId="77777777" w:rsidR="00E92E79" w:rsidRPr="00E92E79" w:rsidRDefault="00E92E79" w:rsidP="003D0A70">
      <w:pPr>
        <w:pStyle w:val="Heading1"/>
        <w:numPr>
          <w:ilvl w:val="0"/>
          <w:numId w:val="22"/>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The Trust’s Conflict of Interest Policy applies.</w:t>
      </w:r>
    </w:p>
    <w:p w14:paraId="38F11EEC" w14:textId="77777777" w:rsidR="00E92E79" w:rsidRPr="00E92E79" w:rsidRDefault="00E92E79" w:rsidP="003D0A70">
      <w:pPr>
        <w:pStyle w:val="Heading1"/>
        <w:spacing w:before="0" w:after="120"/>
        <w:rPr>
          <w:rFonts w:asciiTheme="minorHAnsi" w:hAnsiTheme="minorHAnsi"/>
          <w:color w:val="auto"/>
          <w:sz w:val="22"/>
          <w:szCs w:val="22"/>
          <w:lang w:val="en-NZ"/>
        </w:rPr>
      </w:pPr>
      <w:r w:rsidRPr="00E92E79">
        <w:rPr>
          <w:rFonts w:asciiTheme="minorHAnsi" w:eastAsia="Calibri" w:hAnsiTheme="minorHAnsi"/>
          <w:color w:val="auto"/>
          <w:sz w:val="22"/>
          <w:szCs w:val="22"/>
          <w:lang w:val="en-NZ"/>
        </w:rPr>
        <w:t>D. Whānau Code of Conduct Applies</w:t>
      </w:r>
    </w:p>
    <w:p w14:paraId="153C0F1D" w14:textId="77777777" w:rsidR="00E92E79" w:rsidRPr="00E92E79" w:rsidRDefault="00E92E79" w:rsidP="003D0A70">
      <w:pPr>
        <w:pStyle w:val="Heading1"/>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All contractors, employees, or workers must comply with the Taumore Ahu Whānau Trust Code of Conduct. This includes:</w:t>
      </w:r>
    </w:p>
    <w:p w14:paraId="3C1C9B09" w14:textId="77777777" w:rsidR="00E92E79" w:rsidRPr="00E92E79" w:rsidRDefault="00E92E79" w:rsidP="003D0A70">
      <w:pPr>
        <w:pStyle w:val="Heading1"/>
        <w:numPr>
          <w:ilvl w:val="0"/>
          <w:numId w:val="23"/>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Respectful behaviour</w:t>
      </w:r>
    </w:p>
    <w:p w14:paraId="30747765" w14:textId="77777777" w:rsidR="00E92E79" w:rsidRPr="00E92E79" w:rsidRDefault="00E92E79" w:rsidP="003D0A70">
      <w:pPr>
        <w:pStyle w:val="Heading1"/>
        <w:numPr>
          <w:ilvl w:val="0"/>
          <w:numId w:val="23"/>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No damage to whenua or property</w:t>
      </w:r>
    </w:p>
    <w:p w14:paraId="7F153055" w14:textId="77777777" w:rsidR="00E92E79" w:rsidRPr="00E92E79" w:rsidRDefault="00E92E79" w:rsidP="003D0A70">
      <w:pPr>
        <w:pStyle w:val="Heading1"/>
        <w:numPr>
          <w:ilvl w:val="0"/>
          <w:numId w:val="23"/>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No unauthorised activity</w:t>
      </w:r>
    </w:p>
    <w:p w14:paraId="6AEC3A7E" w14:textId="77777777" w:rsidR="00E92E79" w:rsidRPr="00E92E79" w:rsidRDefault="00E92E79" w:rsidP="003D0A70">
      <w:pPr>
        <w:pStyle w:val="Heading1"/>
        <w:numPr>
          <w:ilvl w:val="0"/>
          <w:numId w:val="23"/>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No intoxication while working</w:t>
      </w:r>
    </w:p>
    <w:p w14:paraId="038CD94E" w14:textId="77777777" w:rsidR="00E92E79" w:rsidRPr="00E92E79" w:rsidRDefault="00E92E79" w:rsidP="003D0A70">
      <w:pPr>
        <w:pStyle w:val="Heading1"/>
        <w:numPr>
          <w:ilvl w:val="0"/>
          <w:numId w:val="23"/>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Respecting tikanga, safety protocols, and trustee directions</w:t>
      </w:r>
    </w:p>
    <w:p w14:paraId="4D793D9B" w14:textId="77777777" w:rsidR="00E92E79" w:rsidRPr="00E92E79" w:rsidRDefault="00E92E79" w:rsidP="003D0A70">
      <w:pPr>
        <w:pStyle w:val="Heading1"/>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Breaches may result in written warnings, removal from site, or contract termination.</w:t>
      </w:r>
    </w:p>
    <w:p w14:paraId="3F3D4CF5" w14:textId="77777777" w:rsidR="00E92E79" w:rsidRPr="00E92E79" w:rsidRDefault="00E92E79" w:rsidP="003D0A70">
      <w:pPr>
        <w:pStyle w:val="Heading1"/>
        <w:spacing w:before="0" w:after="120"/>
        <w:rPr>
          <w:rFonts w:asciiTheme="minorHAnsi" w:hAnsiTheme="minorHAnsi"/>
          <w:color w:val="auto"/>
          <w:sz w:val="22"/>
          <w:szCs w:val="22"/>
          <w:lang w:val="en-NZ"/>
        </w:rPr>
      </w:pPr>
      <w:r w:rsidRPr="00E92E79">
        <w:rPr>
          <w:rFonts w:asciiTheme="minorHAnsi" w:eastAsia="Calibri" w:hAnsiTheme="minorHAnsi"/>
          <w:color w:val="auto"/>
          <w:sz w:val="22"/>
          <w:szCs w:val="22"/>
          <w:lang w:val="en-NZ"/>
        </w:rPr>
        <w:t>E. Oversight &amp; Transparency</w:t>
      </w:r>
    </w:p>
    <w:p w14:paraId="2DBE3131" w14:textId="77777777" w:rsidR="00E92E79" w:rsidRPr="00E92E79" w:rsidRDefault="00E92E79" w:rsidP="003D0A70">
      <w:pPr>
        <w:pStyle w:val="Heading1"/>
        <w:numPr>
          <w:ilvl w:val="0"/>
          <w:numId w:val="24"/>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The Secretary and/or Chairperson must ensure all documentation is:</w:t>
      </w:r>
    </w:p>
    <w:p w14:paraId="7471E4A3" w14:textId="77777777" w:rsidR="00E92E79" w:rsidRPr="00E92E79" w:rsidRDefault="00E92E79" w:rsidP="003D0A70">
      <w:pPr>
        <w:pStyle w:val="Heading1"/>
        <w:numPr>
          <w:ilvl w:val="1"/>
          <w:numId w:val="24"/>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Kept on record (contracts, reports, receipts, resolutions)</w:t>
      </w:r>
    </w:p>
    <w:p w14:paraId="505D3820" w14:textId="77777777" w:rsidR="00E92E79" w:rsidRPr="00E92E79" w:rsidRDefault="00E92E79" w:rsidP="003D0A70">
      <w:pPr>
        <w:pStyle w:val="Heading1"/>
        <w:numPr>
          <w:ilvl w:val="1"/>
          <w:numId w:val="24"/>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Available for audit or beneficiary inspection upon request</w:t>
      </w:r>
    </w:p>
    <w:p w14:paraId="233F07A8" w14:textId="77777777" w:rsidR="00E92E79" w:rsidRPr="00E92E79" w:rsidRDefault="00E92E79" w:rsidP="003D0A70">
      <w:pPr>
        <w:pStyle w:val="Heading1"/>
        <w:numPr>
          <w:ilvl w:val="0"/>
          <w:numId w:val="24"/>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All financial arrangements and hiring decisions must be:</w:t>
      </w:r>
    </w:p>
    <w:p w14:paraId="44157E50" w14:textId="77777777" w:rsidR="00E92E79" w:rsidRPr="00E92E79" w:rsidRDefault="00E92E79" w:rsidP="003D0A70">
      <w:pPr>
        <w:pStyle w:val="Heading1"/>
        <w:numPr>
          <w:ilvl w:val="1"/>
          <w:numId w:val="24"/>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Declared in the AGM financial report</w:t>
      </w:r>
    </w:p>
    <w:p w14:paraId="079BAB71" w14:textId="77777777" w:rsidR="00E92E79" w:rsidRPr="00E92E79" w:rsidRDefault="00E92E79" w:rsidP="003D0A70">
      <w:pPr>
        <w:pStyle w:val="Heading1"/>
        <w:numPr>
          <w:ilvl w:val="1"/>
          <w:numId w:val="24"/>
        </w:numPr>
        <w:spacing w:before="0" w:after="120"/>
        <w:rPr>
          <w:rFonts w:asciiTheme="minorHAnsi" w:hAnsiTheme="minorHAnsi"/>
          <w:b w:val="0"/>
          <w:bCs w:val="0"/>
          <w:color w:val="auto"/>
          <w:sz w:val="22"/>
          <w:szCs w:val="22"/>
          <w:lang w:val="en-NZ"/>
        </w:rPr>
      </w:pPr>
      <w:r w:rsidRPr="00E92E79">
        <w:rPr>
          <w:rFonts w:asciiTheme="minorHAnsi" w:eastAsia="Calibri" w:hAnsiTheme="minorHAnsi"/>
          <w:b w:val="0"/>
          <w:bCs w:val="0"/>
          <w:color w:val="auto"/>
          <w:sz w:val="22"/>
          <w:szCs w:val="22"/>
          <w:lang w:val="en-NZ"/>
        </w:rPr>
        <w:t>Available for contributing members to review</w:t>
      </w:r>
    </w:p>
    <w:p w14:paraId="7A0CC27F" w14:textId="77777777" w:rsidR="003D0A70" w:rsidRDefault="003D0A70" w:rsidP="003D0A70">
      <w:pPr>
        <w:pStyle w:val="Heading1"/>
        <w:spacing w:before="0" w:after="120"/>
        <w:rPr>
          <w:color w:val="0070C0"/>
        </w:rPr>
      </w:pPr>
    </w:p>
    <w:p w14:paraId="568E8808" w14:textId="77777777" w:rsidR="00C179AC" w:rsidRPr="004C43E4" w:rsidRDefault="00B36C30" w:rsidP="003D0A70">
      <w:pPr>
        <w:pStyle w:val="Heading1"/>
        <w:spacing w:before="0" w:after="120"/>
        <w:rPr>
          <w:color w:val="4F81BD" w:themeColor="accent1"/>
        </w:rPr>
      </w:pPr>
      <w:r>
        <w:rPr>
          <w:rFonts w:ascii="Calibri" w:eastAsia="Calibri" w:hAnsi="Calibri"/>
          <w:color w:val="0070C0"/>
          <w:sz w:val="22"/>
        </w:rPr>
        <w:lastRenderedPageBreak/>
        <w:t>5</w:t>
      </w:r>
      <w:r w:rsidRPr="004C43E4">
        <w:rPr>
          <w:rFonts w:ascii="Calibri" w:eastAsia="Calibri" w:hAnsi="Calibri"/>
          <w:color w:val="0070C0"/>
          <w:sz w:val="22"/>
        </w:rPr>
        <w:t>. Trustee Disciplinary Process</w:t>
      </w:r>
    </w:p>
    <w:p w14:paraId="35058B86" w14:textId="77777777" w:rsidR="00C60D14" w:rsidRPr="00C60D14" w:rsidRDefault="00C60D14" w:rsidP="003D0A70">
      <w:pPr>
        <w:pStyle w:val="Heading1"/>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 integrity of the Trust relies on trustees upholding the highest standards of conduct, transparency, and accountability. This section sets out the formal process for addressing trustee misconduct in a fair and lawful manner.</w:t>
      </w:r>
    </w:p>
    <w:p w14:paraId="30C66DBF" w14:textId="77777777" w:rsidR="00C60D14" w:rsidRPr="00C60D14" w:rsidRDefault="00000000" w:rsidP="003D0A70">
      <w:pPr>
        <w:pStyle w:val="Heading1"/>
        <w:spacing w:before="0" w:after="120"/>
        <w:rPr>
          <w:rFonts w:asciiTheme="minorHAnsi" w:hAnsiTheme="minorHAnsi"/>
          <w:b w:val="0"/>
          <w:bCs w:val="0"/>
          <w:color w:val="auto"/>
          <w:sz w:val="22"/>
          <w:szCs w:val="22"/>
          <w:lang w:val="en-NZ"/>
        </w:rPr>
      </w:pPr>
      <w:r>
        <w:rPr>
          <w:rFonts w:asciiTheme="minorHAnsi" w:eastAsia="Calibri" w:hAnsiTheme="minorHAnsi"/>
          <w:b w:val="0"/>
          <w:bCs w:val="0"/>
          <w:color w:val="auto"/>
          <w:sz w:val="22"/>
          <w:szCs w:val="22"/>
          <w:lang w:val="en-NZ"/>
        </w:rPr>
        <w:pict w14:anchorId="1AA1921C">
          <v:rect id="_x0000_i1029" style="width:0;height:1.5pt" o:hralign="center" o:hrstd="t" o:hr="t" fillcolor="#a0a0a0" stroked="f"/>
        </w:pict>
      </w:r>
    </w:p>
    <w:p w14:paraId="476CF89A" w14:textId="77777777" w:rsidR="00C60D14" w:rsidRPr="00C60D14" w:rsidRDefault="00C60D14" w:rsidP="003D0A70">
      <w:pPr>
        <w:pStyle w:val="Heading1"/>
        <w:spacing w:before="0" w:after="120"/>
        <w:rPr>
          <w:rFonts w:asciiTheme="minorHAnsi" w:hAnsiTheme="minorHAnsi"/>
          <w:color w:val="auto"/>
          <w:sz w:val="22"/>
          <w:szCs w:val="22"/>
          <w:lang w:val="en-NZ"/>
        </w:rPr>
      </w:pPr>
      <w:r w:rsidRPr="00C60D14">
        <w:rPr>
          <w:rFonts w:asciiTheme="minorHAnsi" w:eastAsia="Calibri" w:hAnsiTheme="minorHAnsi"/>
          <w:color w:val="auto"/>
          <w:sz w:val="22"/>
          <w:szCs w:val="22"/>
          <w:lang w:val="en-NZ"/>
        </w:rPr>
        <w:t>5.1 Grounds for Disciplinary Action</w:t>
      </w:r>
    </w:p>
    <w:p w14:paraId="3A89F8F9" w14:textId="77777777" w:rsidR="00C60D14" w:rsidRPr="00C60D14" w:rsidRDefault="00C60D14" w:rsidP="003D0A70">
      <w:pPr>
        <w:pStyle w:val="Heading1"/>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Disciplinary action may be taken where a trustee is found to have committed:</w:t>
      </w:r>
    </w:p>
    <w:p w14:paraId="5A2137CE" w14:textId="77777777" w:rsidR="00C60D14" w:rsidRPr="00C60D14" w:rsidRDefault="00C60D14" w:rsidP="003D0A70">
      <w:pPr>
        <w:pStyle w:val="Heading1"/>
        <w:numPr>
          <w:ilvl w:val="0"/>
          <w:numId w:val="25"/>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 serious conflict of interest without disclosure</w:t>
      </w:r>
    </w:p>
    <w:p w14:paraId="4766C163" w14:textId="77777777" w:rsidR="00C60D14" w:rsidRPr="00C60D14" w:rsidRDefault="00C60D14" w:rsidP="003D0A70">
      <w:pPr>
        <w:pStyle w:val="Heading1"/>
        <w:numPr>
          <w:ilvl w:val="0"/>
          <w:numId w:val="25"/>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Mismanagement or unauthorised use of Trust assets or information</w:t>
      </w:r>
    </w:p>
    <w:p w14:paraId="4C15CDDA" w14:textId="77777777" w:rsidR="00C60D14" w:rsidRPr="00C60D14" w:rsidRDefault="00C60D14" w:rsidP="003D0A70">
      <w:pPr>
        <w:pStyle w:val="Heading1"/>
        <w:numPr>
          <w:ilvl w:val="0"/>
          <w:numId w:val="25"/>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Breach of fiduciary duty (acting in personal interest or contrary to beneficiary interests)</w:t>
      </w:r>
    </w:p>
    <w:p w14:paraId="7B870AB2" w14:textId="77777777" w:rsidR="00C60D14" w:rsidRPr="00C60D14" w:rsidRDefault="00C60D14" w:rsidP="003D0A70">
      <w:pPr>
        <w:pStyle w:val="Heading1"/>
        <w:numPr>
          <w:ilvl w:val="0"/>
          <w:numId w:val="25"/>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 xml:space="preserve">Failure to attend meetings or </w:t>
      </w:r>
      <w:proofErr w:type="spellStart"/>
      <w:r w:rsidRPr="00C60D14">
        <w:rPr>
          <w:rFonts w:asciiTheme="minorHAnsi" w:eastAsia="Calibri" w:hAnsiTheme="minorHAnsi"/>
          <w:b w:val="0"/>
          <w:bCs w:val="0"/>
          <w:color w:val="auto"/>
          <w:sz w:val="22"/>
          <w:szCs w:val="22"/>
          <w:lang w:val="en-NZ"/>
        </w:rPr>
        <w:t>fulfill</w:t>
      </w:r>
      <w:proofErr w:type="spellEnd"/>
      <w:r w:rsidRPr="00C60D14">
        <w:rPr>
          <w:rFonts w:asciiTheme="minorHAnsi" w:eastAsia="Calibri" w:hAnsiTheme="minorHAnsi"/>
          <w:b w:val="0"/>
          <w:bCs w:val="0"/>
          <w:color w:val="auto"/>
          <w:sz w:val="22"/>
          <w:szCs w:val="22"/>
          <w:lang w:val="en-NZ"/>
        </w:rPr>
        <w:t xml:space="preserve"> core trustee responsibilities</w:t>
      </w:r>
    </w:p>
    <w:p w14:paraId="06B23B17" w14:textId="77777777" w:rsidR="00C60D14" w:rsidRPr="00C60D14" w:rsidRDefault="00C60D14" w:rsidP="003D0A70">
      <w:pPr>
        <w:pStyle w:val="Heading1"/>
        <w:numPr>
          <w:ilvl w:val="0"/>
          <w:numId w:val="25"/>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Aggressive, disrespectful, or obstructive behaviour in meetings or toward beneficiaries</w:t>
      </w:r>
    </w:p>
    <w:p w14:paraId="7E918E89" w14:textId="77777777" w:rsidR="00C60D14" w:rsidRPr="00C60D14" w:rsidRDefault="00C60D14" w:rsidP="003D0A70">
      <w:pPr>
        <w:pStyle w:val="Heading1"/>
        <w:numPr>
          <w:ilvl w:val="0"/>
          <w:numId w:val="25"/>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Acting outside the scope of agreed trustee decisions or resolutions</w:t>
      </w:r>
    </w:p>
    <w:p w14:paraId="31160BEA" w14:textId="77777777" w:rsidR="00C60D14" w:rsidRPr="00C60D14" w:rsidRDefault="00C60D14" w:rsidP="003D0A70">
      <w:pPr>
        <w:pStyle w:val="Heading1"/>
        <w:numPr>
          <w:ilvl w:val="0"/>
          <w:numId w:val="25"/>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Persistent breaches of the Code of Conduct or External Engagement Policy</w:t>
      </w:r>
    </w:p>
    <w:p w14:paraId="35D3EA72" w14:textId="77777777" w:rsidR="00C60D14" w:rsidRPr="00C60D14" w:rsidRDefault="00000000" w:rsidP="003D0A70">
      <w:pPr>
        <w:pStyle w:val="Heading1"/>
        <w:spacing w:before="0" w:after="120"/>
        <w:rPr>
          <w:rFonts w:asciiTheme="minorHAnsi" w:hAnsiTheme="minorHAnsi"/>
          <w:b w:val="0"/>
          <w:bCs w:val="0"/>
          <w:color w:val="auto"/>
          <w:sz w:val="22"/>
          <w:szCs w:val="22"/>
          <w:lang w:val="en-NZ"/>
        </w:rPr>
      </w:pPr>
      <w:r>
        <w:rPr>
          <w:rFonts w:asciiTheme="minorHAnsi" w:eastAsia="Calibri" w:hAnsiTheme="minorHAnsi"/>
          <w:b w:val="0"/>
          <w:bCs w:val="0"/>
          <w:color w:val="auto"/>
          <w:sz w:val="22"/>
          <w:szCs w:val="22"/>
          <w:lang w:val="en-NZ"/>
        </w:rPr>
        <w:pict w14:anchorId="436EF56B">
          <v:rect id="_x0000_i1030" style="width:0;height:1.5pt" o:hralign="center" o:hrstd="t" o:hr="t" fillcolor="#a0a0a0" stroked="f"/>
        </w:pict>
      </w:r>
    </w:p>
    <w:p w14:paraId="1DD5FA79" w14:textId="77777777" w:rsidR="00C60D14" w:rsidRPr="00C60D14" w:rsidRDefault="00C60D14" w:rsidP="003D0A70">
      <w:pPr>
        <w:pStyle w:val="Heading1"/>
        <w:spacing w:before="0" w:after="120"/>
        <w:rPr>
          <w:rFonts w:asciiTheme="minorHAnsi" w:hAnsiTheme="minorHAnsi"/>
          <w:color w:val="auto"/>
          <w:sz w:val="22"/>
          <w:szCs w:val="22"/>
          <w:lang w:val="en-NZ"/>
        </w:rPr>
      </w:pPr>
      <w:r w:rsidRPr="00C60D14">
        <w:rPr>
          <w:rFonts w:asciiTheme="minorHAnsi" w:eastAsia="Calibri" w:hAnsiTheme="minorHAnsi"/>
          <w:color w:val="auto"/>
          <w:sz w:val="22"/>
          <w:szCs w:val="22"/>
          <w:lang w:val="en-NZ"/>
        </w:rPr>
        <w:t>5.2 Principles of Natural Justice</w:t>
      </w:r>
    </w:p>
    <w:p w14:paraId="34F6AC61" w14:textId="77777777" w:rsidR="00C60D14" w:rsidRPr="00C60D14" w:rsidRDefault="00C60D14" w:rsidP="003D0A70">
      <w:pPr>
        <w:pStyle w:val="Heading1"/>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All disciplinary processes must uphold the principles of natural justice:</w:t>
      </w:r>
    </w:p>
    <w:p w14:paraId="763FD675" w14:textId="77777777" w:rsidR="00C60D14" w:rsidRPr="00C60D14" w:rsidRDefault="00C60D14" w:rsidP="003D0A70">
      <w:pPr>
        <w:pStyle w:val="Heading1"/>
        <w:numPr>
          <w:ilvl w:val="0"/>
          <w:numId w:val="26"/>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 trustee must be informed in writing of the specific allegations</w:t>
      </w:r>
    </w:p>
    <w:p w14:paraId="0A1342D0" w14:textId="77777777" w:rsidR="00C60D14" w:rsidRPr="00C60D14" w:rsidRDefault="00C60D14" w:rsidP="003D0A70">
      <w:pPr>
        <w:pStyle w:val="Heading1"/>
        <w:numPr>
          <w:ilvl w:val="0"/>
          <w:numId w:val="26"/>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They must have reasonable time to prepare a response</w:t>
      </w:r>
    </w:p>
    <w:p w14:paraId="1FF6E63A" w14:textId="77777777" w:rsidR="00C60D14" w:rsidRPr="00C60D14" w:rsidRDefault="00C60D14" w:rsidP="003D0A70">
      <w:pPr>
        <w:pStyle w:val="Heading1"/>
        <w:numPr>
          <w:ilvl w:val="0"/>
          <w:numId w:val="26"/>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They must have the opportunity to be heard and provide evidence</w:t>
      </w:r>
    </w:p>
    <w:p w14:paraId="5DEB0F8B" w14:textId="77777777" w:rsidR="00C60D14" w:rsidRPr="00C60D14" w:rsidRDefault="00C60D14" w:rsidP="003D0A70">
      <w:pPr>
        <w:pStyle w:val="Heading1"/>
        <w:numPr>
          <w:ilvl w:val="0"/>
          <w:numId w:val="26"/>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 decision must be made by an impartial panel (excluding conflicted trustees)</w:t>
      </w:r>
    </w:p>
    <w:p w14:paraId="1DC0247C" w14:textId="77777777" w:rsidR="00C60D14" w:rsidRPr="00C60D14" w:rsidRDefault="00000000" w:rsidP="003D0A70">
      <w:pPr>
        <w:pStyle w:val="Heading1"/>
        <w:spacing w:before="0" w:after="120"/>
        <w:rPr>
          <w:rFonts w:asciiTheme="minorHAnsi" w:hAnsiTheme="minorHAnsi"/>
          <w:b w:val="0"/>
          <w:bCs w:val="0"/>
          <w:color w:val="auto"/>
          <w:sz w:val="22"/>
          <w:szCs w:val="22"/>
          <w:lang w:val="en-NZ"/>
        </w:rPr>
      </w:pPr>
      <w:r>
        <w:rPr>
          <w:rFonts w:asciiTheme="minorHAnsi" w:eastAsia="Calibri" w:hAnsiTheme="minorHAnsi"/>
          <w:b w:val="0"/>
          <w:bCs w:val="0"/>
          <w:color w:val="auto"/>
          <w:sz w:val="22"/>
          <w:szCs w:val="22"/>
          <w:lang w:val="en-NZ"/>
        </w:rPr>
        <w:pict w14:anchorId="12C9DB06">
          <v:rect id="_x0000_i1031" style="width:0;height:1.5pt" o:hralign="center" o:hrstd="t" o:hr="t" fillcolor="#a0a0a0" stroked="f"/>
        </w:pict>
      </w:r>
    </w:p>
    <w:p w14:paraId="6F446C7B" w14:textId="77777777" w:rsidR="00C60D14" w:rsidRPr="00C60D14" w:rsidRDefault="00C60D14" w:rsidP="003D0A70">
      <w:pPr>
        <w:pStyle w:val="Heading1"/>
        <w:spacing w:before="0" w:after="120"/>
        <w:rPr>
          <w:rFonts w:asciiTheme="minorHAnsi" w:hAnsiTheme="minorHAnsi"/>
          <w:color w:val="auto"/>
          <w:sz w:val="22"/>
          <w:szCs w:val="22"/>
          <w:lang w:val="en-NZ"/>
        </w:rPr>
      </w:pPr>
      <w:r w:rsidRPr="00C60D14">
        <w:rPr>
          <w:rFonts w:asciiTheme="minorHAnsi" w:eastAsia="Calibri" w:hAnsiTheme="minorHAnsi"/>
          <w:color w:val="auto"/>
          <w:sz w:val="22"/>
          <w:szCs w:val="22"/>
          <w:lang w:val="en-NZ"/>
        </w:rPr>
        <w:t>5.3 Process Steps</w:t>
      </w:r>
    </w:p>
    <w:p w14:paraId="2F0296CE" w14:textId="77777777" w:rsidR="00C60D14" w:rsidRPr="00C60D14" w:rsidRDefault="00C60D14" w:rsidP="003D0A70">
      <w:pPr>
        <w:pStyle w:val="Heading1"/>
        <w:numPr>
          <w:ilvl w:val="0"/>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Trigger Event / Complaint</w:t>
      </w:r>
    </w:p>
    <w:p w14:paraId="11603AE0" w14:textId="77777777" w:rsidR="00C60D14" w:rsidRPr="00C60D14" w:rsidRDefault="00C60D14" w:rsidP="003D0A70">
      <w:pPr>
        <w:pStyle w:val="Heading1"/>
        <w:numPr>
          <w:ilvl w:val="1"/>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Concern raised by a beneficiary, trustee, or through evidence (e.g. minutes, financials).</w:t>
      </w:r>
    </w:p>
    <w:p w14:paraId="33BF5547" w14:textId="77777777" w:rsidR="00C60D14" w:rsidRPr="00C60D14" w:rsidRDefault="00C60D14" w:rsidP="003D0A70">
      <w:pPr>
        <w:pStyle w:val="Heading1"/>
        <w:numPr>
          <w:ilvl w:val="1"/>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Chairperson (or neutral trustee) logs the concern and notifies all trustees.</w:t>
      </w:r>
    </w:p>
    <w:p w14:paraId="4E375D95" w14:textId="77777777" w:rsidR="00C60D14" w:rsidRPr="00C60D14" w:rsidRDefault="00C60D14" w:rsidP="003D0A70">
      <w:pPr>
        <w:pStyle w:val="Heading1"/>
        <w:numPr>
          <w:ilvl w:val="0"/>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Preliminary Review</w:t>
      </w:r>
    </w:p>
    <w:p w14:paraId="3D0E0056" w14:textId="77777777" w:rsidR="00C60D14" w:rsidRPr="00C60D14" w:rsidRDefault="00C60D14" w:rsidP="003D0A70">
      <w:pPr>
        <w:pStyle w:val="Heading1"/>
        <w:numPr>
          <w:ilvl w:val="1"/>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Trustees decide if concern warrants a formal disciplinary meeting.</w:t>
      </w:r>
    </w:p>
    <w:p w14:paraId="5D2FA999" w14:textId="77777777" w:rsidR="00C60D14" w:rsidRPr="00C60D14" w:rsidRDefault="00C60D14" w:rsidP="003D0A70">
      <w:pPr>
        <w:pStyle w:val="Heading1"/>
        <w:numPr>
          <w:ilvl w:val="1"/>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If yes, a Special Meeting is called.</w:t>
      </w:r>
    </w:p>
    <w:p w14:paraId="088A41EE" w14:textId="77777777" w:rsidR="00C60D14" w:rsidRPr="00C60D14" w:rsidRDefault="00C60D14" w:rsidP="003D0A70">
      <w:pPr>
        <w:pStyle w:val="Heading1"/>
        <w:numPr>
          <w:ilvl w:val="0"/>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lastRenderedPageBreak/>
        <w:t>Notice of Meeting</w:t>
      </w:r>
    </w:p>
    <w:p w14:paraId="3B0FF7CA" w14:textId="77777777" w:rsidR="00C60D14" w:rsidRPr="00C60D14" w:rsidRDefault="00C60D14" w:rsidP="003D0A70">
      <w:pPr>
        <w:pStyle w:val="Heading1"/>
        <w:numPr>
          <w:ilvl w:val="1"/>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 trustee concerned receives:</w:t>
      </w:r>
    </w:p>
    <w:p w14:paraId="6EA1E04A" w14:textId="77777777" w:rsidR="00C60D14" w:rsidRPr="00C60D14" w:rsidRDefault="00C60D14" w:rsidP="003D0A70">
      <w:pPr>
        <w:pStyle w:val="Heading1"/>
        <w:numPr>
          <w:ilvl w:val="2"/>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Formal letter outlining allegations</w:t>
      </w:r>
    </w:p>
    <w:p w14:paraId="532663E7" w14:textId="77777777" w:rsidR="00C60D14" w:rsidRPr="00C60D14" w:rsidRDefault="00C60D14" w:rsidP="003D0A70">
      <w:pPr>
        <w:pStyle w:val="Heading1"/>
        <w:numPr>
          <w:ilvl w:val="2"/>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Copy of any evidence</w:t>
      </w:r>
    </w:p>
    <w:p w14:paraId="02D379DA" w14:textId="77777777" w:rsidR="00C60D14" w:rsidRPr="00C60D14" w:rsidRDefault="00C60D14" w:rsidP="003D0A70">
      <w:pPr>
        <w:pStyle w:val="Heading1"/>
        <w:numPr>
          <w:ilvl w:val="2"/>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Date, time, and venue of hearing</w:t>
      </w:r>
    </w:p>
    <w:p w14:paraId="05F64703" w14:textId="77777777" w:rsidR="00C60D14" w:rsidRPr="00C60D14" w:rsidRDefault="00C60D14" w:rsidP="003D0A70">
      <w:pPr>
        <w:pStyle w:val="Heading1"/>
        <w:numPr>
          <w:ilvl w:val="2"/>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Their right to respond in person or in writing</w:t>
      </w:r>
    </w:p>
    <w:p w14:paraId="540EF504" w14:textId="77777777" w:rsidR="00C60D14" w:rsidRPr="00C60D14" w:rsidRDefault="00C60D14" w:rsidP="003D0A70">
      <w:pPr>
        <w:pStyle w:val="Heading1"/>
        <w:numPr>
          <w:ilvl w:val="0"/>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Disciplinary Hearing</w:t>
      </w:r>
    </w:p>
    <w:p w14:paraId="5CDA6A64" w14:textId="77777777" w:rsidR="00C60D14" w:rsidRPr="00C60D14" w:rsidRDefault="00C60D14" w:rsidP="003D0A70">
      <w:pPr>
        <w:pStyle w:val="Heading1"/>
        <w:numPr>
          <w:ilvl w:val="1"/>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 xml:space="preserve">Meeting begins with </w:t>
      </w:r>
      <w:proofErr w:type="spellStart"/>
      <w:proofErr w:type="gramStart"/>
      <w:r w:rsidRPr="00C60D14">
        <w:rPr>
          <w:rFonts w:asciiTheme="minorHAnsi" w:eastAsia="Calibri" w:hAnsiTheme="minorHAnsi"/>
          <w:b w:val="0"/>
          <w:bCs w:val="0"/>
          <w:color w:val="auto"/>
          <w:sz w:val="22"/>
          <w:szCs w:val="22"/>
          <w:lang w:val="en-NZ"/>
        </w:rPr>
        <w:t>karakia</w:t>
      </w:r>
      <w:proofErr w:type="spellEnd"/>
      <w:proofErr w:type="gramEnd"/>
      <w:r w:rsidRPr="00C60D14">
        <w:rPr>
          <w:rFonts w:asciiTheme="minorHAnsi" w:eastAsia="Calibri" w:hAnsiTheme="minorHAnsi"/>
          <w:b w:val="0"/>
          <w:bCs w:val="0"/>
          <w:color w:val="auto"/>
          <w:sz w:val="22"/>
          <w:szCs w:val="22"/>
          <w:lang w:val="en-NZ"/>
        </w:rPr>
        <w:t xml:space="preserve"> and attendance recorded.</w:t>
      </w:r>
    </w:p>
    <w:p w14:paraId="423067FA" w14:textId="77777777" w:rsidR="00C60D14" w:rsidRPr="00C60D14" w:rsidRDefault="00C60D14" w:rsidP="003D0A70">
      <w:pPr>
        <w:pStyle w:val="Heading1"/>
        <w:numPr>
          <w:ilvl w:val="1"/>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Allegations presented by Chair or delegated trustee.</w:t>
      </w:r>
    </w:p>
    <w:p w14:paraId="5611C001" w14:textId="77777777" w:rsidR="00C60D14" w:rsidRPr="00C60D14" w:rsidRDefault="00C60D14" w:rsidP="003D0A70">
      <w:pPr>
        <w:pStyle w:val="Heading1"/>
        <w:numPr>
          <w:ilvl w:val="1"/>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Trustee has right to speak, present evidence, and be supported by a witness if desired.</w:t>
      </w:r>
    </w:p>
    <w:p w14:paraId="01FFCC92" w14:textId="77777777" w:rsidR="00C60D14" w:rsidRPr="00C60D14" w:rsidRDefault="00C60D14" w:rsidP="003D0A70">
      <w:pPr>
        <w:pStyle w:val="Heading1"/>
        <w:numPr>
          <w:ilvl w:val="1"/>
          <w:numId w:val="27"/>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Trustees may ask questions and deliberate privately after hearing both sides.</w:t>
      </w:r>
    </w:p>
    <w:p w14:paraId="4D57A739" w14:textId="77777777" w:rsidR="00C60D14" w:rsidRPr="00C60D14" w:rsidRDefault="00000000" w:rsidP="003D0A70">
      <w:pPr>
        <w:pStyle w:val="Heading1"/>
        <w:spacing w:before="0" w:after="120"/>
        <w:rPr>
          <w:rFonts w:asciiTheme="minorHAnsi" w:hAnsiTheme="minorHAnsi"/>
          <w:b w:val="0"/>
          <w:bCs w:val="0"/>
          <w:color w:val="auto"/>
          <w:sz w:val="22"/>
          <w:szCs w:val="22"/>
          <w:lang w:val="en-NZ"/>
        </w:rPr>
      </w:pPr>
      <w:r>
        <w:rPr>
          <w:rFonts w:asciiTheme="minorHAnsi" w:eastAsia="Calibri" w:hAnsiTheme="minorHAnsi"/>
          <w:b w:val="0"/>
          <w:bCs w:val="0"/>
          <w:color w:val="auto"/>
          <w:sz w:val="22"/>
          <w:szCs w:val="22"/>
          <w:lang w:val="en-NZ"/>
        </w:rPr>
        <w:pict w14:anchorId="64E41DCA">
          <v:rect id="_x0000_i1032" style="width:0;height:1.5pt" o:hralign="center" o:hrstd="t" o:hr="t" fillcolor="#a0a0a0" stroked="f"/>
        </w:pict>
      </w:r>
    </w:p>
    <w:p w14:paraId="36B719AA" w14:textId="77777777" w:rsidR="00C60D14" w:rsidRPr="00C60D14" w:rsidRDefault="00C60D14" w:rsidP="003D0A70">
      <w:pPr>
        <w:pStyle w:val="Heading1"/>
        <w:spacing w:before="0" w:after="120"/>
        <w:rPr>
          <w:rFonts w:asciiTheme="minorHAnsi" w:hAnsiTheme="minorHAnsi"/>
          <w:color w:val="auto"/>
          <w:sz w:val="22"/>
          <w:szCs w:val="22"/>
          <w:lang w:val="en-NZ"/>
        </w:rPr>
      </w:pPr>
      <w:r w:rsidRPr="00C60D14">
        <w:rPr>
          <w:rFonts w:asciiTheme="minorHAnsi" w:eastAsia="Calibri" w:hAnsiTheme="minorHAnsi"/>
          <w:color w:val="auto"/>
          <w:sz w:val="22"/>
          <w:szCs w:val="22"/>
          <w:lang w:val="en-NZ"/>
        </w:rPr>
        <w:t>5.4 Possible Outcomes</w:t>
      </w:r>
    </w:p>
    <w:p w14:paraId="29606514" w14:textId="77777777" w:rsidR="00C60D14" w:rsidRPr="00C60D14" w:rsidRDefault="00C60D14" w:rsidP="003D0A70">
      <w:pPr>
        <w:pStyle w:val="Heading1"/>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Based on the severity and impact of the breach, the Trust may decide to:</w:t>
      </w:r>
    </w:p>
    <w:p w14:paraId="72126D54" w14:textId="77777777" w:rsidR="00C60D14" w:rsidRPr="00C60D14" w:rsidRDefault="00C60D14" w:rsidP="003D0A70">
      <w:pPr>
        <w:pStyle w:val="Heading1"/>
        <w:numPr>
          <w:ilvl w:val="0"/>
          <w:numId w:val="28"/>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Issue a formal verbal or written warning</w:t>
      </w:r>
    </w:p>
    <w:p w14:paraId="47F93124" w14:textId="77777777" w:rsidR="00C60D14" w:rsidRPr="00C60D14" w:rsidRDefault="00C60D14" w:rsidP="003D0A70">
      <w:pPr>
        <w:pStyle w:val="Heading1"/>
        <w:numPr>
          <w:ilvl w:val="0"/>
          <w:numId w:val="28"/>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Request corrective actions or training</w:t>
      </w:r>
    </w:p>
    <w:p w14:paraId="3DDF1535" w14:textId="77777777" w:rsidR="00C60D14" w:rsidRPr="00C60D14" w:rsidRDefault="00C60D14" w:rsidP="003D0A70">
      <w:pPr>
        <w:pStyle w:val="Heading1"/>
        <w:numPr>
          <w:ilvl w:val="0"/>
          <w:numId w:val="28"/>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Suspend the trustee from duties for a fixed period</w:t>
      </w:r>
    </w:p>
    <w:p w14:paraId="323D7802" w14:textId="77777777" w:rsidR="00C60D14" w:rsidRPr="00C60D14" w:rsidRDefault="00C60D14" w:rsidP="003D0A70">
      <w:pPr>
        <w:pStyle w:val="Heading1"/>
        <w:numPr>
          <w:ilvl w:val="0"/>
          <w:numId w:val="28"/>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Revoke voting rights on specific matters (temporarily)</w:t>
      </w:r>
    </w:p>
    <w:p w14:paraId="7B31B1D3" w14:textId="77777777" w:rsidR="00C60D14" w:rsidRPr="00C60D14" w:rsidRDefault="00C60D14" w:rsidP="003D0A70">
      <w:pPr>
        <w:pStyle w:val="Heading1"/>
        <w:numPr>
          <w:ilvl w:val="0"/>
          <w:numId w:val="28"/>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Apply to the Māori Land Court for removal under section 240 of Te Ture Whenua Māori Act 1993</w:t>
      </w:r>
    </w:p>
    <w:p w14:paraId="3C7FE855" w14:textId="77777777" w:rsidR="00C60D14" w:rsidRPr="00C60D14" w:rsidRDefault="00C60D14" w:rsidP="003D0A70">
      <w:pPr>
        <w:pStyle w:val="Heading1"/>
        <w:numPr>
          <w:ilvl w:val="0"/>
          <w:numId w:val="28"/>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Require mediation or restorative hui to rebuild trust</w:t>
      </w:r>
    </w:p>
    <w:p w14:paraId="1200E850" w14:textId="77777777" w:rsidR="00C60D14" w:rsidRPr="00C60D14" w:rsidRDefault="00000000" w:rsidP="003D0A70">
      <w:pPr>
        <w:pStyle w:val="Heading1"/>
        <w:spacing w:before="0" w:after="120"/>
        <w:rPr>
          <w:rFonts w:asciiTheme="minorHAnsi" w:hAnsiTheme="minorHAnsi"/>
          <w:b w:val="0"/>
          <w:bCs w:val="0"/>
          <w:color w:val="auto"/>
          <w:sz w:val="22"/>
          <w:szCs w:val="22"/>
          <w:lang w:val="en-NZ"/>
        </w:rPr>
      </w:pPr>
      <w:r>
        <w:rPr>
          <w:rFonts w:asciiTheme="minorHAnsi" w:eastAsia="Calibri" w:hAnsiTheme="minorHAnsi"/>
          <w:b w:val="0"/>
          <w:bCs w:val="0"/>
          <w:color w:val="auto"/>
          <w:sz w:val="22"/>
          <w:szCs w:val="22"/>
          <w:lang w:val="en-NZ"/>
        </w:rPr>
        <w:pict w14:anchorId="1E57B975">
          <v:rect id="_x0000_i1033" style="width:0;height:1.5pt" o:hralign="center" o:hrstd="t" o:hr="t" fillcolor="#a0a0a0" stroked="f"/>
        </w:pict>
      </w:r>
    </w:p>
    <w:p w14:paraId="47DCF9F6" w14:textId="77777777" w:rsidR="00C60D14" w:rsidRPr="00C60D14" w:rsidRDefault="00C60D14" w:rsidP="003D0A70">
      <w:pPr>
        <w:pStyle w:val="Heading1"/>
        <w:spacing w:before="0" w:after="120"/>
        <w:rPr>
          <w:rFonts w:asciiTheme="minorHAnsi" w:hAnsiTheme="minorHAnsi"/>
          <w:color w:val="auto"/>
          <w:sz w:val="22"/>
          <w:szCs w:val="22"/>
          <w:lang w:val="en-NZ"/>
        </w:rPr>
      </w:pPr>
      <w:r w:rsidRPr="00C60D14">
        <w:rPr>
          <w:rFonts w:asciiTheme="minorHAnsi" w:eastAsia="Calibri" w:hAnsiTheme="minorHAnsi"/>
          <w:color w:val="auto"/>
          <w:sz w:val="22"/>
          <w:szCs w:val="22"/>
          <w:lang w:val="en-NZ"/>
        </w:rPr>
        <w:t>5.5 Documentation and Review</w:t>
      </w:r>
    </w:p>
    <w:p w14:paraId="036E355A" w14:textId="77777777" w:rsidR="00C60D14" w:rsidRPr="00C60D14" w:rsidRDefault="00C60D14" w:rsidP="003D0A70">
      <w:pPr>
        <w:pStyle w:val="Heading1"/>
        <w:numPr>
          <w:ilvl w:val="0"/>
          <w:numId w:val="29"/>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Minutes of the disciplinary meeting must be recorded in detail.</w:t>
      </w:r>
    </w:p>
    <w:p w14:paraId="36016F26" w14:textId="77777777" w:rsidR="00C60D14" w:rsidRPr="00C60D14" w:rsidRDefault="00C60D14" w:rsidP="003D0A70">
      <w:pPr>
        <w:pStyle w:val="Heading1"/>
        <w:numPr>
          <w:ilvl w:val="0"/>
          <w:numId w:val="29"/>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All evidence, notices, and outcomes must be filed in the Trust’s governance records.</w:t>
      </w:r>
    </w:p>
    <w:p w14:paraId="7011DA25" w14:textId="77777777" w:rsidR="00C60D14" w:rsidRPr="00C60D14" w:rsidRDefault="00C60D14" w:rsidP="003D0A70">
      <w:pPr>
        <w:pStyle w:val="Heading1"/>
        <w:numPr>
          <w:ilvl w:val="0"/>
          <w:numId w:val="29"/>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 outcome must be notified in writing to the trustee and reported at the next whānau AGM (unless confidential for legal reasons).</w:t>
      </w:r>
    </w:p>
    <w:p w14:paraId="77EAB95F" w14:textId="77777777" w:rsidR="00C60D14" w:rsidRPr="00C60D14" w:rsidRDefault="00000000" w:rsidP="003D0A70">
      <w:pPr>
        <w:pStyle w:val="Heading1"/>
        <w:spacing w:before="0" w:after="120"/>
        <w:rPr>
          <w:rFonts w:asciiTheme="minorHAnsi" w:hAnsiTheme="minorHAnsi"/>
          <w:b w:val="0"/>
          <w:bCs w:val="0"/>
          <w:color w:val="auto"/>
          <w:sz w:val="22"/>
          <w:szCs w:val="22"/>
          <w:lang w:val="en-NZ"/>
        </w:rPr>
      </w:pPr>
      <w:r>
        <w:rPr>
          <w:rFonts w:asciiTheme="minorHAnsi" w:eastAsia="Calibri" w:hAnsiTheme="minorHAnsi"/>
          <w:b w:val="0"/>
          <w:bCs w:val="0"/>
          <w:color w:val="auto"/>
          <w:sz w:val="22"/>
          <w:szCs w:val="22"/>
          <w:lang w:val="en-NZ"/>
        </w:rPr>
        <w:pict w14:anchorId="267286A3">
          <v:rect id="_x0000_i1034" style="width:0;height:1.5pt" o:hralign="center" o:hrstd="t" o:hr="t" fillcolor="#a0a0a0" stroked="f"/>
        </w:pict>
      </w:r>
    </w:p>
    <w:p w14:paraId="02D65C24" w14:textId="77777777" w:rsidR="00C60D14" w:rsidRPr="00C60D14" w:rsidRDefault="00C60D14" w:rsidP="003D0A70">
      <w:pPr>
        <w:pStyle w:val="Heading1"/>
        <w:spacing w:before="0" w:after="120"/>
        <w:rPr>
          <w:rFonts w:asciiTheme="minorHAnsi" w:hAnsiTheme="minorHAnsi"/>
          <w:color w:val="auto"/>
          <w:sz w:val="22"/>
          <w:szCs w:val="22"/>
          <w:lang w:val="en-NZ"/>
        </w:rPr>
      </w:pPr>
      <w:r w:rsidRPr="00C60D14">
        <w:rPr>
          <w:rFonts w:asciiTheme="minorHAnsi" w:eastAsia="Calibri" w:hAnsiTheme="minorHAnsi"/>
          <w:color w:val="auto"/>
          <w:sz w:val="22"/>
          <w:szCs w:val="22"/>
          <w:lang w:val="en-NZ"/>
        </w:rPr>
        <w:t>5.6 Appeal Process</w:t>
      </w:r>
    </w:p>
    <w:p w14:paraId="74997078" w14:textId="77777777" w:rsidR="00C60D14" w:rsidRPr="00C60D14" w:rsidRDefault="00C60D14" w:rsidP="003D0A70">
      <w:pPr>
        <w:pStyle w:val="Heading1"/>
        <w:numPr>
          <w:ilvl w:val="0"/>
          <w:numId w:val="30"/>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lastRenderedPageBreak/>
        <w:t>If allowed under the Trust Deed or MLC direction, the trustee may appeal the outcome.</w:t>
      </w:r>
    </w:p>
    <w:p w14:paraId="3D7CAFEC" w14:textId="77777777" w:rsidR="00C60D14" w:rsidRPr="00C60D14" w:rsidRDefault="00C60D14" w:rsidP="003D0A70">
      <w:pPr>
        <w:pStyle w:val="Heading1"/>
        <w:numPr>
          <w:ilvl w:val="0"/>
          <w:numId w:val="30"/>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 second Special Meeting may be called, or the matter may be referred to a kaumātua panel or legal advisor.</w:t>
      </w:r>
    </w:p>
    <w:p w14:paraId="7375B2BE" w14:textId="77777777" w:rsidR="00C60D14" w:rsidRPr="00C60D14" w:rsidRDefault="00C60D14" w:rsidP="003D0A70">
      <w:pPr>
        <w:pStyle w:val="Heading1"/>
        <w:numPr>
          <w:ilvl w:val="0"/>
          <w:numId w:val="30"/>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Appeals must be lodged within 21 days of the decision.</w:t>
      </w:r>
    </w:p>
    <w:p w14:paraId="05572434" w14:textId="77777777" w:rsidR="00C60D14" w:rsidRPr="00C60D14" w:rsidRDefault="00000000" w:rsidP="003D0A70">
      <w:pPr>
        <w:pStyle w:val="Heading1"/>
        <w:spacing w:before="0" w:after="120"/>
        <w:rPr>
          <w:rFonts w:asciiTheme="minorHAnsi" w:hAnsiTheme="minorHAnsi"/>
          <w:b w:val="0"/>
          <w:bCs w:val="0"/>
          <w:color w:val="auto"/>
          <w:sz w:val="22"/>
          <w:szCs w:val="22"/>
          <w:lang w:val="en-NZ"/>
        </w:rPr>
      </w:pPr>
      <w:r>
        <w:rPr>
          <w:rFonts w:asciiTheme="minorHAnsi" w:eastAsia="Calibri" w:hAnsiTheme="minorHAnsi"/>
          <w:b w:val="0"/>
          <w:bCs w:val="0"/>
          <w:color w:val="auto"/>
          <w:sz w:val="22"/>
          <w:szCs w:val="22"/>
          <w:lang w:val="en-NZ"/>
        </w:rPr>
        <w:pict w14:anchorId="12A3D97C">
          <v:rect id="_x0000_i1035" style="width:0;height:1.5pt" o:hralign="center" o:hrstd="t" o:hr="t" fillcolor="#a0a0a0" stroked="f"/>
        </w:pict>
      </w:r>
    </w:p>
    <w:p w14:paraId="7B14980F" w14:textId="77777777" w:rsidR="00C60D14" w:rsidRPr="00C60D14" w:rsidRDefault="00C60D14" w:rsidP="003D0A70">
      <w:pPr>
        <w:pStyle w:val="Heading1"/>
        <w:spacing w:before="0" w:after="120"/>
        <w:rPr>
          <w:rFonts w:asciiTheme="minorHAnsi" w:hAnsiTheme="minorHAnsi"/>
          <w:color w:val="auto"/>
          <w:sz w:val="22"/>
          <w:szCs w:val="22"/>
          <w:lang w:val="en-NZ"/>
        </w:rPr>
      </w:pPr>
      <w:r w:rsidRPr="00C60D14">
        <w:rPr>
          <w:rFonts w:asciiTheme="minorHAnsi" w:eastAsia="Calibri" w:hAnsiTheme="minorHAnsi"/>
          <w:color w:val="auto"/>
          <w:sz w:val="22"/>
          <w:szCs w:val="22"/>
          <w:lang w:val="en-NZ"/>
        </w:rPr>
        <w:t>5.7 Legal Compliance</w:t>
      </w:r>
    </w:p>
    <w:p w14:paraId="601A67FD" w14:textId="77777777" w:rsidR="00C60D14" w:rsidRPr="00C60D14" w:rsidRDefault="00C60D14" w:rsidP="003D0A70">
      <w:pPr>
        <w:pStyle w:val="Heading1"/>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All disciplinary processes must comply with:</w:t>
      </w:r>
    </w:p>
    <w:p w14:paraId="70144E84" w14:textId="77777777" w:rsidR="00C60D14" w:rsidRPr="00C60D14" w:rsidRDefault="00C60D14" w:rsidP="003D0A70">
      <w:pPr>
        <w:pStyle w:val="Heading1"/>
        <w:numPr>
          <w:ilvl w:val="0"/>
          <w:numId w:val="31"/>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 Trusts Act 2019</w:t>
      </w:r>
    </w:p>
    <w:p w14:paraId="56151696" w14:textId="77777777" w:rsidR="00C60D14" w:rsidRPr="00C60D14" w:rsidRDefault="00C60D14" w:rsidP="003D0A70">
      <w:pPr>
        <w:pStyle w:val="Heading1"/>
        <w:numPr>
          <w:ilvl w:val="0"/>
          <w:numId w:val="31"/>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The Trust Deed and Governance Charter</w:t>
      </w:r>
    </w:p>
    <w:p w14:paraId="0210636B" w14:textId="77777777" w:rsidR="00C60D14" w:rsidRPr="00C60D14" w:rsidRDefault="00C60D14" w:rsidP="003D0A70">
      <w:pPr>
        <w:pStyle w:val="Heading1"/>
        <w:numPr>
          <w:ilvl w:val="0"/>
          <w:numId w:val="31"/>
        </w:numPr>
        <w:spacing w:before="0" w:after="120"/>
        <w:rPr>
          <w:rFonts w:asciiTheme="minorHAnsi" w:hAnsiTheme="minorHAnsi"/>
          <w:b w:val="0"/>
          <w:bCs w:val="0"/>
          <w:color w:val="auto"/>
          <w:sz w:val="22"/>
          <w:szCs w:val="22"/>
          <w:lang w:val="en-NZ"/>
        </w:rPr>
      </w:pPr>
      <w:r w:rsidRPr="00C60D14">
        <w:rPr>
          <w:rFonts w:asciiTheme="minorHAnsi" w:eastAsia="Calibri" w:hAnsiTheme="minorHAnsi"/>
          <w:b w:val="0"/>
          <w:bCs w:val="0"/>
          <w:color w:val="auto"/>
          <w:sz w:val="22"/>
          <w:szCs w:val="22"/>
          <w:lang w:val="en-NZ"/>
        </w:rPr>
        <w:t>Section 240 of Te Ture Whenua Māori Act 1993 if removal is sought</w:t>
      </w:r>
    </w:p>
    <w:p w14:paraId="49C2BB10" w14:textId="77777777" w:rsidR="00C179AC" w:rsidRPr="00B36C30" w:rsidRDefault="00B36C30" w:rsidP="003D0A70">
      <w:pPr>
        <w:pStyle w:val="Heading1"/>
        <w:spacing w:before="0" w:after="120"/>
        <w:rPr>
          <w:color w:val="0070C0"/>
        </w:rPr>
      </w:pPr>
      <w:r w:rsidRPr="00B36C30">
        <w:rPr>
          <w:rFonts w:ascii="Calibri" w:eastAsia="Calibri" w:hAnsi="Calibri"/>
          <w:color w:val="0070C0"/>
          <w:sz w:val="22"/>
        </w:rPr>
        <w:t>6. Whānau Code of Conduct</w:t>
      </w:r>
    </w:p>
    <w:p w14:paraId="4E8F41AF" w14:textId="77777777" w:rsidR="00286A52" w:rsidRPr="00286A52" w:rsidRDefault="00286A52" w:rsidP="003D0A70">
      <w:pPr>
        <w:spacing w:after="120"/>
        <w:rPr>
          <w:lang w:val="en-NZ"/>
        </w:rPr>
      </w:pPr>
      <w:r w:rsidRPr="00286A52">
        <w:rPr>
          <w:rFonts w:ascii="Calibri" w:eastAsia="Calibri" w:hAnsi="Calibri"/>
          <w:lang w:val="en-NZ"/>
        </w:rPr>
        <w:t xml:space="preserve">The purpose of this Code is to protect the mana of the whenua and the safety and dignity of all </w:t>
      </w:r>
      <w:proofErr w:type="spellStart"/>
      <w:r w:rsidRPr="00286A52">
        <w:rPr>
          <w:rFonts w:ascii="Calibri" w:eastAsia="Calibri" w:hAnsi="Calibri"/>
          <w:lang w:val="en-NZ"/>
        </w:rPr>
        <w:t>uri</w:t>
      </w:r>
      <w:proofErr w:type="spellEnd"/>
      <w:r w:rsidRPr="00286A52">
        <w:rPr>
          <w:rFonts w:ascii="Calibri" w:eastAsia="Calibri" w:hAnsi="Calibri"/>
          <w:lang w:val="en-NZ"/>
        </w:rPr>
        <w:t>, trustees, and manuhiri engaged in Taumore Ahu Whānau Trust kaupapa. It reflects our shared values and provides a transparent process to address unacceptable behaviour.</w:t>
      </w:r>
    </w:p>
    <w:p w14:paraId="68D7C47E" w14:textId="77777777" w:rsidR="00286A52" w:rsidRPr="00286A52" w:rsidRDefault="00000000" w:rsidP="003D0A70">
      <w:pPr>
        <w:spacing w:after="120"/>
        <w:rPr>
          <w:lang w:val="en-NZ"/>
        </w:rPr>
      </w:pPr>
      <w:r>
        <w:rPr>
          <w:rFonts w:ascii="Calibri" w:eastAsia="Calibri" w:hAnsi="Calibri"/>
          <w:lang w:val="en-NZ"/>
        </w:rPr>
        <w:pict w14:anchorId="32DB1B5A">
          <v:rect id="_x0000_i1036" style="width:0;height:1.5pt" o:hralign="center" o:hrstd="t" o:hr="t" fillcolor="#a0a0a0" stroked="f"/>
        </w:pict>
      </w:r>
    </w:p>
    <w:p w14:paraId="389A0185" w14:textId="77777777" w:rsidR="00286A52" w:rsidRPr="00286A52" w:rsidRDefault="00286A52" w:rsidP="003D0A70">
      <w:pPr>
        <w:spacing w:after="120"/>
        <w:rPr>
          <w:b/>
          <w:bCs/>
          <w:lang w:val="en-NZ"/>
        </w:rPr>
      </w:pPr>
      <w:r w:rsidRPr="00286A52">
        <w:rPr>
          <w:rFonts w:ascii="Calibri" w:eastAsia="Calibri" w:hAnsi="Calibri"/>
          <w:b/>
          <w:bCs/>
          <w:lang w:val="en-NZ"/>
        </w:rPr>
        <w:t>6.1 Expected Behaviour</w:t>
      </w:r>
    </w:p>
    <w:p w14:paraId="07392CCD" w14:textId="77777777" w:rsidR="00286A52" w:rsidRPr="00286A52" w:rsidRDefault="00286A52" w:rsidP="003D0A70">
      <w:pPr>
        <w:spacing w:after="120"/>
        <w:rPr>
          <w:lang w:val="en-NZ"/>
        </w:rPr>
      </w:pPr>
      <w:r w:rsidRPr="00286A52">
        <w:rPr>
          <w:rFonts w:ascii="Calibri" w:eastAsia="Calibri" w:hAnsi="Calibri"/>
          <w:lang w:val="en-NZ"/>
        </w:rPr>
        <w:t xml:space="preserve">All </w:t>
      </w:r>
      <w:proofErr w:type="spellStart"/>
      <w:r w:rsidRPr="00286A52">
        <w:rPr>
          <w:rFonts w:ascii="Calibri" w:eastAsia="Calibri" w:hAnsi="Calibri"/>
          <w:lang w:val="en-NZ"/>
        </w:rPr>
        <w:t>uri</w:t>
      </w:r>
      <w:proofErr w:type="spellEnd"/>
      <w:r w:rsidRPr="00286A52">
        <w:rPr>
          <w:rFonts w:ascii="Calibri" w:eastAsia="Calibri" w:hAnsi="Calibri"/>
          <w:lang w:val="en-NZ"/>
        </w:rPr>
        <w:t xml:space="preserve"> and visitors engaging with Trust kaupapa — including hui, visits, development, and maintenance of the whenua — are expected to:</w:t>
      </w:r>
    </w:p>
    <w:p w14:paraId="37787403" w14:textId="77777777" w:rsidR="00286A52" w:rsidRPr="00286A52" w:rsidRDefault="00286A52" w:rsidP="003D0A70">
      <w:pPr>
        <w:numPr>
          <w:ilvl w:val="0"/>
          <w:numId w:val="32"/>
        </w:numPr>
        <w:spacing w:after="120"/>
        <w:rPr>
          <w:lang w:val="en-NZ"/>
        </w:rPr>
      </w:pPr>
      <w:r w:rsidRPr="00286A52">
        <w:rPr>
          <w:rFonts w:ascii="Calibri" w:eastAsia="Calibri" w:hAnsi="Calibri"/>
          <w:b/>
          <w:bCs/>
          <w:lang w:val="en-NZ"/>
        </w:rPr>
        <w:t>Respect others</w:t>
      </w:r>
      <w:r w:rsidRPr="00286A52">
        <w:rPr>
          <w:rFonts w:ascii="Calibri" w:eastAsia="Calibri" w:hAnsi="Calibri"/>
          <w:lang w:val="en-NZ"/>
        </w:rPr>
        <w:t>: Speak with mana, listen with aroha. No bullying, shouting, abusive language, gossip, or intimidation will be tolerated.</w:t>
      </w:r>
    </w:p>
    <w:p w14:paraId="23077221" w14:textId="77777777" w:rsidR="00286A52" w:rsidRPr="00286A52" w:rsidRDefault="00286A52" w:rsidP="003D0A70">
      <w:pPr>
        <w:numPr>
          <w:ilvl w:val="0"/>
          <w:numId w:val="32"/>
        </w:numPr>
        <w:spacing w:after="120"/>
        <w:rPr>
          <w:lang w:val="en-NZ"/>
        </w:rPr>
      </w:pPr>
      <w:r w:rsidRPr="00286A52">
        <w:rPr>
          <w:rFonts w:ascii="Calibri" w:eastAsia="Calibri" w:hAnsi="Calibri"/>
          <w:b/>
          <w:bCs/>
          <w:lang w:val="en-NZ"/>
        </w:rPr>
        <w:t>Uphold tikanga and kaupapa</w:t>
      </w:r>
      <w:r w:rsidRPr="00286A52">
        <w:rPr>
          <w:rFonts w:ascii="Calibri" w:eastAsia="Calibri" w:hAnsi="Calibri"/>
          <w:lang w:val="en-NZ"/>
        </w:rPr>
        <w:t>: Follow established protocols during hui, gatherings, and while on the whenua.</w:t>
      </w:r>
    </w:p>
    <w:p w14:paraId="6FB22A10" w14:textId="77777777" w:rsidR="00286A52" w:rsidRPr="00286A52" w:rsidRDefault="00286A52" w:rsidP="003D0A70">
      <w:pPr>
        <w:numPr>
          <w:ilvl w:val="0"/>
          <w:numId w:val="32"/>
        </w:numPr>
        <w:spacing w:after="120"/>
        <w:rPr>
          <w:lang w:val="en-NZ"/>
        </w:rPr>
      </w:pPr>
      <w:r w:rsidRPr="00286A52">
        <w:rPr>
          <w:rFonts w:ascii="Calibri" w:eastAsia="Calibri" w:hAnsi="Calibri"/>
          <w:b/>
          <w:bCs/>
          <w:lang w:val="en-NZ"/>
        </w:rPr>
        <w:t>Protect the whenua and taonga</w:t>
      </w:r>
      <w:r w:rsidRPr="00286A52">
        <w:rPr>
          <w:rFonts w:ascii="Calibri" w:eastAsia="Calibri" w:hAnsi="Calibri"/>
          <w:lang w:val="en-NZ"/>
        </w:rPr>
        <w:t>:</w:t>
      </w:r>
    </w:p>
    <w:p w14:paraId="21048BFE" w14:textId="77777777" w:rsidR="00286A52" w:rsidRPr="00286A52" w:rsidRDefault="00286A52" w:rsidP="003D0A70">
      <w:pPr>
        <w:numPr>
          <w:ilvl w:val="1"/>
          <w:numId w:val="32"/>
        </w:numPr>
        <w:spacing w:after="120"/>
        <w:rPr>
          <w:lang w:val="en-NZ"/>
        </w:rPr>
      </w:pPr>
      <w:r w:rsidRPr="00286A52">
        <w:rPr>
          <w:rFonts w:ascii="Calibri" w:eastAsia="Calibri" w:hAnsi="Calibri"/>
          <w:lang w:val="en-NZ"/>
        </w:rPr>
        <w:t>No damage to wharenui, urupā, fences, tanks, or native trees</w:t>
      </w:r>
    </w:p>
    <w:p w14:paraId="467B6391" w14:textId="77777777" w:rsidR="00286A52" w:rsidRPr="00286A52" w:rsidRDefault="00286A52" w:rsidP="003D0A70">
      <w:pPr>
        <w:numPr>
          <w:ilvl w:val="1"/>
          <w:numId w:val="32"/>
        </w:numPr>
        <w:spacing w:after="120"/>
        <w:rPr>
          <w:lang w:val="en-NZ"/>
        </w:rPr>
      </w:pPr>
      <w:r w:rsidRPr="00286A52">
        <w:rPr>
          <w:rFonts w:ascii="Calibri" w:eastAsia="Calibri" w:hAnsi="Calibri"/>
          <w:lang w:val="en-NZ"/>
        </w:rPr>
        <w:t>No unauthorised planting, removal, or modification of whenua</w:t>
      </w:r>
    </w:p>
    <w:p w14:paraId="06A798C8" w14:textId="77777777" w:rsidR="00286A52" w:rsidRPr="00286A52" w:rsidRDefault="00286A52" w:rsidP="003D0A70">
      <w:pPr>
        <w:numPr>
          <w:ilvl w:val="1"/>
          <w:numId w:val="32"/>
        </w:numPr>
        <w:spacing w:after="120"/>
        <w:rPr>
          <w:lang w:val="en-NZ"/>
        </w:rPr>
      </w:pPr>
      <w:r w:rsidRPr="00286A52">
        <w:rPr>
          <w:rFonts w:ascii="Calibri" w:eastAsia="Calibri" w:hAnsi="Calibri"/>
          <w:lang w:val="en-NZ"/>
        </w:rPr>
        <w:t>No dumping of rubbish, green waste, household goods, or vehicles</w:t>
      </w:r>
    </w:p>
    <w:p w14:paraId="669CE1BB" w14:textId="77777777" w:rsidR="00286A52" w:rsidRPr="00286A52" w:rsidRDefault="00286A52" w:rsidP="003D0A70">
      <w:pPr>
        <w:numPr>
          <w:ilvl w:val="0"/>
          <w:numId w:val="32"/>
        </w:numPr>
        <w:spacing w:after="120"/>
        <w:rPr>
          <w:lang w:val="en-NZ"/>
        </w:rPr>
      </w:pPr>
      <w:r w:rsidRPr="00286A52">
        <w:rPr>
          <w:rFonts w:ascii="Calibri" w:eastAsia="Calibri" w:hAnsi="Calibri"/>
          <w:b/>
          <w:bCs/>
          <w:lang w:val="en-NZ"/>
        </w:rPr>
        <w:t>Access with permission</w:t>
      </w:r>
      <w:r w:rsidRPr="00286A52">
        <w:rPr>
          <w:rFonts w:ascii="Calibri" w:eastAsia="Calibri" w:hAnsi="Calibri"/>
          <w:lang w:val="en-NZ"/>
        </w:rPr>
        <w:t>:</w:t>
      </w:r>
    </w:p>
    <w:p w14:paraId="2B8CC22A" w14:textId="77777777" w:rsidR="00286A52" w:rsidRPr="00286A52" w:rsidRDefault="00286A52" w:rsidP="003D0A70">
      <w:pPr>
        <w:numPr>
          <w:ilvl w:val="1"/>
          <w:numId w:val="32"/>
        </w:numPr>
        <w:spacing w:after="120"/>
        <w:rPr>
          <w:lang w:val="en-NZ"/>
        </w:rPr>
      </w:pPr>
      <w:r w:rsidRPr="00286A52">
        <w:rPr>
          <w:rFonts w:ascii="Calibri" w:eastAsia="Calibri" w:hAnsi="Calibri"/>
          <w:lang w:val="en-NZ"/>
        </w:rPr>
        <w:t>All whānau must seek trustee approval before bringing structures, staying overnight, or using the whenua for events</w:t>
      </w:r>
    </w:p>
    <w:p w14:paraId="52018911" w14:textId="77777777" w:rsidR="00286A52" w:rsidRPr="00286A52" w:rsidRDefault="00286A52" w:rsidP="003D0A70">
      <w:pPr>
        <w:numPr>
          <w:ilvl w:val="1"/>
          <w:numId w:val="32"/>
        </w:numPr>
        <w:spacing w:after="120"/>
        <w:rPr>
          <w:lang w:val="en-NZ"/>
        </w:rPr>
      </w:pPr>
      <w:r w:rsidRPr="00286A52">
        <w:rPr>
          <w:rFonts w:ascii="Calibri" w:eastAsia="Calibri" w:hAnsi="Calibri"/>
          <w:lang w:val="en-NZ"/>
        </w:rPr>
        <w:t>Lock access and keyholder systems will be managed by trustees</w:t>
      </w:r>
    </w:p>
    <w:p w14:paraId="1FF439C7" w14:textId="77777777" w:rsidR="00286A52" w:rsidRPr="00286A52" w:rsidRDefault="00286A52" w:rsidP="003D0A70">
      <w:pPr>
        <w:numPr>
          <w:ilvl w:val="0"/>
          <w:numId w:val="32"/>
        </w:numPr>
        <w:spacing w:after="120"/>
        <w:rPr>
          <w:lang w:val="en-NZ"/>
        </w:rPr>
      </w:pPr>
      <w:r w:rsidRPr="00286A52">
        <w:rPr>
          <w:rFonts w:ascii="Calibri" w:eastAsia="Calibri" w:hAnsi="Calibri"/>
          <w:b/>
          <w:bCs/>
          <w:lang w:val="en-NZ"/>
        </w:rPr>
        <w:t>Stay sober and respectful</w:t>
      </w:r>
      <w:r w:rsidRPr="00286A52">
        <w:rPr>
          <w:rFonts w:ascii="Calibri" w:eastAsia="Calibri" w:hAnsi="Calibri"/>
          <w:lang w:val="en-NZ"/>
        </w:rPr>
        <w:t>:</w:t>
      </w:r>
    </w:p>
    <w:p w14:paraId="775950A5" w14:textId="77777777" w:rsidR="00286A52" w:rsidRPr="00286A52" w:rsidRDefault="00286A52" w:rsidP="003D0A70">
      <w:pPr>
        <w:numPr>
          <w:ilvl w:val="1"/>
          <w:numId w:val="32"/>
        </w:numPr>
        <w:spacing w:after="120"/>
        <w:rPr>
          <w:lang w:val="en-NZ"/>
        </w:rPr>
      </w:pPr>
      <w:r w:rsidRPr="00286A52">
        <w:rPr>
          <w:rFonts w:ascii="Calibri" w:eastAsia="Calibri" w:hAnsi="Calibri"/>
          <w:lang w:val="en-NZ"/>
        </w:rPr>
        <w:lastRenderedPageBreak/>
        <w:t>No alcohol or drug use is permitted on the whenua or during Trust hui unless approved for a kaupapa like a celebration or unveiling</w:t>
      </w:r>
    </w:p>
    <w:p w14:paraId="3877C37A" w14:textId="77777777" w:rsidR="00286A52" w:rsidRPr="00286A52" w:rsidRDefault="00286A52" w:rsidP="003D0A70">
      <w:pPr>
        <w:numPr>
          <w:ilvl w:val="0"/>
          <w:numId w:val="32"/>
        </w:numPr>
        <w:spacing w:after="120"/>
        <w:rPr>
          <w:lang w:val="en-NZ"/>
        </w:rPr>
      </w:pPr>
      <w:r w:rsidRPr="00286A52">
        <w:rPr>
          <w:rFonts w:ascii="Calibri" w:eastAsia="Calibri" w:hAnsi="Calibri"/>
          <w:b/>
          <w:bCs/>
          <w:lang w:val="en-NZ"/>
        </w:rPr>
        <w:t>Respect decision-making processes</w:t>
      </w:r>
      <w:r w:rsidRPr="00286A52">
        <w:rPr>
          <w:rFonts w:ascii="Calibri" w:eastAsia="Calibri" w:hAnsi="Calibri"/>
          <w:lang w:val="en-NZ"/>
        </w:rPr>
        <w:t>:</w:t>
      </w:r>
    </w:p>
    <w:p w14:paraId="6592EAC5" w14:textId="77777777" w:rsidR="00286A52" w:rsidRPr="00286A52" w:rsidRDefault="00286A52" w:rsidP="003D0A70">
      <w:pPr>
        <w:numPr>
          <w:ilvl w:val="1"/>
          <w:numId w:val="32"/>
        </w:numPr>
        <w:spacing w:after="120"/>
        <w:rPr>
          <w:lang w:val="en-NZ"/>
        </w:rPr>
      </w:pPr>
      <w:r w:rsidRPr="00286A52">
        <w:rPr>
          <w:rFonts w:ascii="Calibri" w:eastAsia="Calibri" w:hAnsi="Calibri"/>
          <w:lang w:val="en-NZ"/>
        </w:rPr>
        <w:t xml:space="preserve">Once consensus is reached at a hui or by trustee resolution, all </w:t>
      </w:r>
      <w:proofErr w:type="spellStart"/>
      <w:r w:rsidRPr="00286A52">
        <w:rPr>
          <w:rFonts w:ascii="Calibri" w:eastAsia="Calibri" w:hAnsi="Calibri"/>
          <w:lang w:val="en-NZ"/>
        </w:rPr>
        <w:t>uri</w:t>
      </w:r>
      <w:proofErr w:type="spellEnd"/>
      <w:r w:rsidRPr="00286A52">
        <w:rPr>
          <w:rFonts w:ascii="Calibri" w:eastAsia="Calibri" w:hAnsi="Calibri"/>
          <w:lang w:val="en-NZ"/>
        </w:rPr>
        <w:t xml:space="preserve"> are expected to support or respectfully step back — not undermine or sabotage outcomes</w:t>
      </w:r>
    </w:p>
    <w:p w14:paraId="50458465" w14:textId="77777777" w:rsidR="00286A52" w:rsidRPr="00286A52" w:rsidRDefault="00000000" w:rsidP="003D0A70">
      <w:pPr>
        <w:spacing w:after="120"/>
        <w:rPr>
          <w:lang w:val="en-NZ"/>
        </w:rPr>
      </w:pPr>
      <w:r>
        <w:rPr>
          <w:rFonts w:ascii="Calibri" w:eastAsia="Calibri" w:hAnsi="Calibri"/>
          <w:lang w:val="en-NZ"/>
        </w:rPr>
        <w:pict w14:anchorId="1AB5131B">
          <v:rect id="_x0000_i1037" style="width:0;height:1.5pt" o:hralign="center" o:hrstd="t" o:hr="t" fillcolor="#a0a0a0" stroked="f"/>
        </w:pict>
      </w:r>
    </w:p>
    <w:p w14:paraId="15F50810" w14:textId="77777777" w:rsidR="00286A52" w:rsidRPr="00286A52" w:rsidRDefault="00286A52" w:rsidP="003D0A70">
      <w:pPr>
        <w:spacing w:after="120"/>
        <w:rPr>
          <w:b/>
          <w:bCs/>
          <w:lang w:val="en-NZ"/>
        </w:rPr>
      </w:pPr>
      <w:r w:rsidRPr="00286A52">
        <w:rPr>
          <w:rFonts w:ascii="Calibri" w:eastAsia="Calibri" w:hAnsi="Calibri"/>
          <w:b/>
          <w:bCs/>
          <w:lang w:val="en-NZ"/>
        </w:rPr>
        <w:t>6.2 Visitor Expectations</w:t>
      </w:r>
    </w:p>
    <w:p w14:paraId="7442FA78" w14:textId="77777777" w:rsidR="00286A52" w:rsidRPr="00286A52" w:rsidRDefault="00286A52" w:rsidP="003D0A70">
      <w:pPr>
        <w:spacing w:after="120"/>
        <w:rPr>
          <w:lang w:val="en-NZ"/>
        </w:rPr>
      </w:pPr>
      <w:r w:rsidRPr="00286A52">
        <w:rPr>
          <w:rFonts w:ascii="Calibri" w:eastAsia="Calibri" w:hAnsi="Calibri"/>
          <w:lang w:val="en-NZ"/>
        </w:rPr>
        <w:t>Visitors (non-whānau) such as contractors, partners, kaumātua support workers, or external agencies must:</w:t>
      </w:r>
    </w:p>
    <w:p w14:paraId="488FB153" w14:textId="77777777" w:rsidR="00286A52" w:rsidRPr="00286A52" w:rsidRDefault="00286A52" w:rsidP="003D0A70">
      <w:pPr>
        <w:numPr>
          <w:ilvl w:val="0"/>
          <w:numId w:val="33"/>
        </w:numPr>
        <w:spacing w:after="120"/>
        <w:rPr>
          <w:lang w:val="en-NZ"/>
        </w:rPr>
      </w:pPr>
      <w:r w:rsidRPr="00286A52">
        <w:rPr>
          <w:rFonts w:ascii="Calibri" w:eastAsia="Calibri" w:hAnsi="Calibri"/>
          <w:lang w:val="en-NZ"/>
        </w:rPr>
        <w:t xml:space="preserve">Be hosted or approved by a trustee or contributing </w:t>
      </w:r>
      <w:proofErr w:type="spellStart"/>
      <w:r w:rsidRPr="00286A52">
        <w:rPr>
          <w:rFonts w:ascii="Calibri" w:eastAsia="Calibri" w:hAnsi="Calibri"/>
          <w:lang w:val="en-NZ"/>
        </w:rPr>
        <w:t>uri</w:t>
      </w:r>
      <w:proofErr w:type="spellEnd"/>
    </w:p>
    <w:p w14:paraId="4B928E00" w14:textId="77777777" w:rsidR="00286A52" w:rsidRPr="00286A52" w:rsidRDefault="00286A52" w:rsidP="003D0A70">
      <w:pPr>
        <w:numPr>
          <w:ilvl w:val="0"/>
          <w:numId w:val="33"/>
        </w:numPr>
        <w:spacing w:after="120"/>
        <w:rPr>
          <w:lang w:val="en-NZ"/>
        </w:rPr>
      </w:pPr>
      <w:r w:rsidRPr="00286A52">
        <w:rPr>
          <w:rFonts w:ascii="Calibri" w:eastAsia="Calibri" w:hAnsi="Calibri"/>
          <w:lang w:val="en-NZ"/>
        </w:rPr>
        <w:t>Follow all tikanga, safety protocols, and instructions while on site</w:t>
      </w:r>
    </w:p>
    <w:p w14:paraId="505E6F77" w14:textId="77777777" w:rsidR="00286A52" w:rsidRPr="00286A52" w:rsidRDefault="00286A52" w:rsidP="003D0A70">
      <w:pPr>
        <w:numPr>
          <w:ilvl w:val="0"/>
          <w:numId w:val="33"/>
        </w:numPr>
        <w:spacing w:after="120"/>
        <w:rPr>
          <w:lang w:val="en-NZ"/>
        </w:rPr>
      </w:pPr>
      <w:r w:rsidRPr="00286A52">
        <w:rPr>
          <w:rFonts w:ascii="Calibri" w:eastAsia="Calibri" w:hAnsi="Calibri"/>
          <w:lang w:val="en-NZ"/>
        </w:rPr>
        <w:t>Not speak or act on behalf of the Trust unless formally authorised</w:t>
      </w:r>
    </w:p>
    <w:p w14:paraId="51E6FD6C" w14:textId="77777777" w:rsidR="00286A52" w:rsidRPr="00286A52" w:rsidRDefault="00286A52" w:rsidP="003D0A70">
      <w:pPr>
        <w:numPr>
          <w:ilvl w:val="0"/>
          <w:numId w:val="33"/>
        </w:numPr>
        <w:spacing w:after="120"/>
        <w:rPr>
          <w:lang w:val="en-NZ"/>
        </w:rPr>
      </w:pPr>
      <w:r w:rsidRPr="00286A52">
        <w:rPr>
          <w:rFonts w:ascii="Calibri" w:eastAsia="Calibri" w:hAnsi="Calibri"/>
          <w:lang w:val="en-NZ"/>
        </w:rPr>
        <w:t>Leave the whenua tidy and respected as a wāhi tapu</w:t>
      </w:r>
    </w:p>
    <w:p w14:paraId="2595063B" w14:textId="77777777" w:rsidR="00286A52" w:rsidRPr="00286A52" w:rsidRDefault="00000000" w:rsidP="003D0A70">
      <w:pPr>
        <w:spacing w:after="120"/>
        <w:rPr>
          <w:lang w:val="en-NZ"/>
        </w:rPr>
      </w:pPr>
      <w:r>
        <w:rPr>
          <w:rFonts w:ascii="Calibri" w:eastAsia="Calibri" w:hAnsi="Calibri"/>
          <w:lang w:val="en-NZ"/>
        </w:rPr>
        <w:pict w14:anchorId="2FAAAA42">
          <v:rect id="_x0000_i1038" style="width:0;height:1.5pt" o:hralign="center" o:hrstd="t" o:hr="t" fillcolor="#a0a0a0" stroked="f"/>
        </w:pict>
      </w:r>
    </w:p>
    <w:p w14:paraId="611CD1C9" w14:textId="77777777" w:rsidR="00286A52" w:rsidRPr="00286A52" w:rsidRDefault="00286A52" w:rsidP="003D0A70">
      <w:pPr>
        <w:spacing w:after="120"/>
        <w:rPr>
          <w:b/>
          <w:bCs/>
          <w:lang w:val="en-NZ"/>
        </w:rPr>
      </w:pPr>
      <w:r w:rsidRPr="00286A52">
        <w:rPr>
          <w:rFonts w:ascii="Calibri" w:eastAsia="Calibri" w:hAnsi="Calibri"/>
          <w:b/>
          <w:bCs/>
          <w:lang w:val="en-NZ"/>
        </w:rPr>
        <w:t>6.3 Whānau Dispute Resolution</w:t>
      </w:r>
    </w:p>
    <w:p w14:paraId="29A8E962" w14:textId="77777777" w:rsidR="00286A52" w:rsidRPr="00286A52" w:rsidRDefault="00286A52" w:rsidP="003D0A70">
      <w:pPr>
        <w:spacing w:after="120"/>
        <w:rPr>
          <w:lang w:val="en-NZ"/>
        </w:rPr>
      </w:pPr>
      <w:r w:rsidRPr="00286A52">
        <w:rPr>
          <w:rFonts w:ascii="Calibri" w:eastAsia="Calibri" w:hAnsi="Calibri"/>
          <w:lang w:val="en-NZ"/>
        </w:rPr>
        <w:t xml:space="preserve">We recognise that disagreements may arise. To uphold </w:t>
      </w:r>
      <w:proofErr w:type="spellStart"/>
      <w:r w:rsidRPr="00286A52">
        <w:rPr>
          <w:rFonts w:ascii="Calibri" w:eastAsia="Calibri" w:hAnsi="Calibri"/>
          <w:lang w:val="en-NZ"/>
        </w:rPr>
        <w:t>kotahitanga</w:t>
      </w:r>
      <w:proofErr w:type="spellEnd"/>
      <w:r w:rsidRPr="00286A52">
        <w:rPr>
          <w:rFonts w:ascii="Calibri" w:eastAsia="Calibri" w:hAnsi="Calibri"/>
          <w:lang w:val="en-NZ"/>
        </w:rPr>
        <w:t xml:space="preserve">, all </w:t>
      </w:r>
      <w:proofErr w:type="spellStart"/>
      <w:r w:rsidRPr="00286A52">
        <w:rPr>
          <w:rFonts w:ascii="Calibri" w:eastAsia="Calibri" w:hAnsi="Calibri"/>
          <w:lang w:val="en-NZ"/>
        </w:rPr>
        <w:t>uri</w:t>
      </w:r>
      <w:proofErr w:type="spellEnd"/>
      <w:r w:rsidRPr="00286A52">
        <w:rPr>
          <w:rFonts w:ascii="Calibri" w:eastAsia="Calibri" w:hAnsi="Calibri"/>
          <w:lang w:val="en-NZ"/>
        </w:rPr>
        <w:t xml:space="preserve"> are expected to:</w:t>
      </w:r>
    </w:p>
    <w:p w14:paraId="500E1484" w14:textId="77777777" w:rsidR="00286A52" w:rsidRPr="00286A52" w:rsidRDefault="00286A52" w:rsidP="003D0A70">
      <w:pPr>
        <w:numPr>
          <w:ilvl w:val="0"/>
          <w:numId w:val="34"/>
        </w:numPr>
        <w:spacing w:after="120"/>
        <w:rPr>
          <w:lang w:val="en-NZ"/>
        </w:rPr>
      </w:pPr>
      <w:r w:rsidRPr="00286A52">
        <w:rPr>
          <w:rFonts w:ascii="Calibri" w:eastAsia="Calibri" w:hAnsi="Calibri"/>
          <w:lang w:val="en-NZ"/>
        </w:rPr>
        <w:t xml:space="preserve">Attempt to resolve issues </w:t>
      </w:r>
      <w:proofErr w:type="spellStart"/>
      <w:r w:rsidRPr="00286A52">
        <w:rPr>
          <w:rFonts w:ascii="Calibri" w:eastAsia="Calibri" w:hAnsi="Calibri"/>
          <w:b/>
          <w:bCs/>
          <w:lang w:val="en-NZ"/>
        </w:rPr>
        <w:t>kanohi</w:t>
      </w:r>
      <w:proofErr w:type="spellEnd"/>
      <w:r w:rsidRPr="00286A52">
        <w:rPr>
          <w:rFonts w:ascii="Calibri" w:eastAsia="Calibri" w:hAnsi="Calibri"/>
          <w:b/>
          <w:bCs/>
          <w:lang w:val="en-NZ"/>
        </w:rPr>
        <w:t xml:space="preserve"> ki te </w:t>
      </w:r>
      <w:proofErr w:type="spellStart"/>
      <w:r w:rsidRPr="00286A52">
        <w:rPr>
          <w:rFonts w:ascii="Calibri" w:eastAsia="Calibri" w:hAnsi="Calibri"/>
          <w:b/>
          <w:bCs/>
          <w:lang w:val="en-NZ"/>
        </w:rPr>
        <w:t>kanohi</w:t>
      </w:r>
      <w:proofErr w:type="spellEnd"/>
      <w:r w:rsidRPr="00286A52">
        <w:rPr>
          <w:rFonts w:ascii="Calibri" w:eastAsia="Calibri" w:hAnsi="Calibri"/>
          <w:lang w:val="en-NZ"/>
        </w:rPr>
        <w:t xml:space="preserve"> in a respectful way</w:t>
      </w:r>
    </w:p>
    <w:p w14:paraId="4735E378" w14:textId="77777777" w:rsidR="00286A52" w:rsidRPr="00286A52" w:rsidRDefault="00286A52" w:rsidP="003D0A70">
      <w:pPr>
        <w:numPr>
          <w:ilvl w:val="0"/>
          <w:numId w:val="34"/>
        </w:numPr>
        <w:spacing w:after="120"/>
        <w:rPr>
          <w:lang w:val="en-NZ"/>
        </w:rPr>
      </w:pPr>
      <w:r w:rsidRPr="00286A52">
        <w:rPr>
          <w:rFonts w:ascii="Calibri" w:eastAsia="Calibri" w:hAnsi="Calibri"/>
          <w:lang w:val="en-NZ"/>
        </w:rPr>
        <w:t xml:space="preserve">If unresolved, raise the matter with a </w:t>
      </w:r>
      <w:r w:rsidRPr="00286A52">
        <w:rPr>
          <w:rFonts w:ascii="Calibri" w:eastAsia="Calibri" w:hAnsi="Calibri"/>
          <w:b/>
          <w:bCs/>
          <w:lang w:val="en-NZ"/>
        </w:rPr>
        <w:t>nominated kaumātua or neutral trustee</w:t>
      </w:r>
    </w:p>
    <w:p w14:paraId="7964526D" w14:textId="77777777" w:rsidR="00286A52" w:rsidRPr="00286A52" w:rsidRDefault="00286A52" w:rsidP="003D0A70">
      <w:pPr>
        <w:numPr>
          <w:ilvl w:val="0"/>
          <w:numId w:val="34"/>
        </w:numPr>
        <w:spacing w:after="120"/>
        <w:rPr>
          <w:lang w:val="en-NZ"/>
        </w:rPr>
      </w:pPr>
      <w:r w:rsidRPr="00286A52">
        <w:rPr>
          <w:rFonts w:ascii="Calibri" w:eastAsia="Calibri" w:hAnsi="Calibri"/>
          <w:lang w:val="en-NZ"/>
        </w:rPr>
        <w:t xml:space="preserve">Attend a </w:t>
      </w:r>
      <w:r w:rsidRPr="00286A52">
        <w:rPr>
          <w:rFonts w:ascii="Calibri" w:eastAsia="Calibri" w:hAnsi="Calibri"/>
          <w:b/>
          <w:bCs/>
          <w:lang w:val="en-NZ"/>
        </w:rPr>
        <w:t>wānanga</w:t>
      </w:r>
      <w:r w:rsidRPr="00286A52">
        <w:rPr>
          <w:rFonts w:ascii="Calibri" w:eastAsia="Calibri" w:hAnsi="Calibri"/>
          <w:lang w:val="en-NZ"/>
        </w:rPr>
        <w:t xml:space="preserve"> or facilitated discussion to restore understanding</w:t>
      </w:r>
    </w:p>
    <w:p w14:paraId="18BB05A7" w14:textId="77777777" w:rsidR="00286A52" w:rsidRPr="00286A52" w:rsidRDefault="00286A52" w:rsidP="003D0A70">
      <w:pPr>
        <w:numPr>
          <w:ilvl w:val="0"/>
          <w:numId w:val="34"/>
        </w:numPr>
        <w:spacing w:after="120"/>
        <w:rPr>
          <w:lang w:val="en-NZ"/>
        </w:rPr>
      </w:pPr>
      <w:r w:rsidRPr="00286A52">
        <w:rPr>
          <w:rFonts w:ascii="Calibri" w:eastAsia="Calibri" w:hAnsi="Calibri"/>
          <w:lang w:val="en-NZ"/>
        </w:rPr>
        <w:t xml:space="preserve">If necessary, a </w:t>
      </w:r>
      <w:r w:rsidRPr="00286A52">
        <w:rPr>
          <w:rFonts w:ascii="Calibri" w:eastAsia="Calibri" w:hAnsi="Calibri"/>
          <w:b/>
          <w:bCs/>
          <w:lang w:val="en-NZ"/>
        </w:rPr>
        <w:t>written agreement</w:t>
      </w:r>
      <w:r w:rsidRPr="00286A52">
        <w:rPr>
          <w:rFonts w:ascii="Calibri" w:eastAsia="Calibri" w:hAnsi="Calibri"/>
          <w:lang w:val="en-NZ"/>
        </w:rPr>
        <w:t xml:space="preserve"> or boundary may be supported by the Trust</w:t>
      </w:r>
    </w:p>
    <w:p w14:paraId="59D49A6E" w14:textId="77777777" w:rsidR="00286A52" w:rsidRPr="00286A52" w:rsidRDefault="00286A52" w:rsidP="003D0A70">
      <w:pPr>
        <w:spacing w:after="120"/>
        <w:rPr>
          <w:lang w:val="en-NZ"/>
        </w:rPr>
      </w:pPr>
      <w:r w:rsidRPr="00286A52">
        <w:rPr>
          <w:rFonts w:ascii="Calibri" w:eastAsia="Calibri" w:hAnsi="Calibri"/>
          <w:lang w:val="en-NZ"/>
        </w:rPr>
        <w:t>No personal conflict shall be brought into trustee meetings or public forums unless related to a governance breach.</w:t>
      </w:r>
    </w:p>
    <w:p w14:paraId="4C3541BB" w14:textId="77777777" w:rsidR="00286A52" w:rsidRPr="00286A52" w:rsidRDefault="00000000" w:rsidP="003D0A70">
      <w:pPr>
        <w:spacing w:after="120"/>
        <w:rPr>
          <w:lang w:val="en-NZ"/>
        </w:rPr>
      </w:pPr>
      <w:r>
        <w:rPr>
          <w:rFonts w:ascii="Calibri" w:eastAsia="Calibri" w:hAnsi="Calibri"/>
          <w:lang w:val="en-NZ"/>
        </w:rPr>
        <w:pict w14:anchorId="41526956">
          <v:rect id="_x0000_i1039" style="width:0;height:1.5pt" o:hralign="center" o:hrstd="t" o:hr="t" fillcolor="#a0a0a0" stroked="f"/>
        </w:pict>
      </w:r>
    </w:p>
    <w:p w14:paraId="32277F9F" w14:textId="77777777" w:rsidR="00286A52" w:rsidRPr="00286A52" w:rsidRDefault="00286A52" w:rsidP="003D0A70">
      <w:pPr>
        <w:spacing w:after="120"/>
        <w:rPr>
          <w:b/>
          <w:bCs/>
          <w:lang w:val="en-NZ"/>
        </w:rPr>
      </w:pPr>
      <w:r w:rsidRPr="00286A52">
        <w:rPr>
          <w:rFonts w:ascii="Calibri" w:eastAsia="Calibri" w:hAnsi="Calibri"/>
          <w:b/>
          <w:bCs/>
          <w:lang w:val="en-NZ"/>
        </w:rPr>
        <w:t>6.4 Breach Management Process</w:t>
      </w:r>
    </w:p>
    <w:p w14:paraId="3057C4B0" w14:textId="77777777" w:rsidR="00286A52" w:rsidRPr="00286A52" w:rsidRDefault="00286A52" w:rsidP="003D0A70">
      <w:pPr>
        <w:spacing w:after="120"/>
        <w:rPr>
          <w:lang w:val="en-NZ"/>
        </w:rPr>
      </w:pPr>
      <w:r w:rsidRPr="00286A52">
        <w:rPr>
          <w:rFonts w:ascii="Calibri" w:eastAsia="Calibri" w:hAnsi="Calibri"/>
          <w:lang w:val="en-NZ"/>
        </w:rPr>
        <w:t>The Trust will manage breaches in a fair and progressive manner depending on severity: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6"/>
        <w:gridCol w:w="5124"/>
      </w:tblGrid>
      <w:tr w:rsidR="00286A52" w:rsidRPr="00286A52" w14:paraId="7D64CE5D" w14:textId="77777777" w:rsidTr="00286A52">
        <w:trPr>
          <w:tblHeader/>
          <w:tblCellSpacing w:w="15" w:type="dxa"/>
        </w:trPr>
        <w:tc>
          <w:tcPr>
            <w:tcW w:w="0" w:type="auto"/>
            <w:vAlign w:val="center"/>
            <w:hideMark/>
          </w:tcPr>
          <w:p w14:paraId="32216A2E" w14:textId="77777777" w:rsidR="00286A52" w:rsidRPr="00286A52" w:rsidRDefault="00286A52" w:rsidP="003D0A70">
            <w:pPr>
              <w:spacing w:after="120"/>
              <w:rPr>
                <w:b/>
                <w:bCs/>
                <w:lang w:val="en-NZ"/>
              </w:rPr>
            </w:pPr>
            <w:r w:rsidRPr="00286A52">
              <w:rPr>
                <w:b/>
                <w:bCs/>
                <w:lang w:val="en-NZ"/>
              </w:rPr>
              <w:t>Stage</w:t>
            </w:r>
          </w:p>
        </w:tc>
        <w:tc>
          <w:tcPr>
            <w:tcW w:w="0" w:type="auto"/>
            <w:vAlign w:val="center"/>
            <w:hideMark/>
          </w:tcPr>
          <w:p w14:paraId="46F3432C" w14:textId="77777777" w:rsidR="00286A52" w:rsidRPr="00286A52" w:rsidRDefault="00286A52" w:rsidP="003D0A70">
            <w:pPr>
              <w:spacing w:after="120"/>
              <w:rPr>
                <w:b/>
                <w:bCs/>
                <w:lang w:val="en-NZ"/>
              </w:rPr>
            </w:pPr>
            <w:r w:rsidRPr="00286A52">
              <w:rPr>
                <w:b/>
                <w:bCs/>
                <w:lang w:val="en-NZ"/>
              </w:rPr>
              <w:t>Action</w:t>
            </w:r>
          </w:p>
        </w:tc>
      </w:tr>
      <w:tr w:rsidR="00286A52" w:rsidRPr="00286A52" w14:paraId="64022EB9" w14:textId="77777777" w:rsidTr="00286A52">
        <w:trPr>
          <w:tblCellSpacing w:w="15" w:type="dxa"/>
        </w:trPr>
        <w:tc>
          <w:tcPr>
            <w:tcW w:w="0" w:type="auto"/>
            <w:vAlign w:val="center"/>
            <w:hideMark/>
          </w:tcPr>
          <w:p w14:paraId="1F4DCEC2" w14:textId="77777777" w:rsidR="00286A52" w:rsidRPr="00286A52" w:rsidRDefault="00286A52" w:rsidP="003D0A70">
            <w:pPr>
              <w:spacing w:after="120"/>
              <w:rPr>
                <w:lang w:val="en-NZ"/>
              </w:rPr>
            </w:pPr>
            <w:r w:rsidRPr="00286A52">
              <w:rPr>
                <w:b/>
                <w:bCs/>
                <w:lang w:val="en-NZ"/>
              </w:rPr>
              <w:t>First Breach</w:t>
            </w:r>
          </w:p>
        </w:tc>
        <w:tc>
          <w:tcPr>
            <w:tcW w:w="0" w:type="auto"/>
            <w:vAlign w:val="center"/>
            <w:hideMark/>
          </w:tcPr>
          <w:p w14:paraId="07019D74" w14:textId="77777777" w:rsidR="00286A52" w:rsidRPr="00286A52" w:rsidRDefault="00286A52" w:rsidP="003D0A70">
            <w:pPr>
              <w:spacing w:after="120"/>
              <w:rPr>
                <w:lang w:val="en-NZ"/>
              </w:rPr>
            </w:pPr>
            <w:r w:rsidRPr="00286A52">
              <w:rPr>
                <w:lang w:val="en-NZ"/>
              </w:rPr>
              <w:t>Verbal or written warning issued, with opportunity to reflect or resolve</w:t>
            </w:r>
          </w:p>
        </w:tc>
      </w:tr>
      <w:tr w:rsidR="00286A52" w:rsidRPr="00286A52" w14:paraId="5B74A048" w14:textId="77777777" w:rsidTr="00286A52">
        <w:trPr>
          <w:tblCellSpacing w:w="15" w:type="dxa"/>
        </w:trPr>
        <w:tc>
          <w:tcPr>
            <w:tcW w:w="0" w:type="auto"/>
            <w:vAlign w:val="center"/>
            <w:hideMark/>
          </w:tcPr>
          <w:p w14:paraId="42C76944" w14:textId="77777777" w:rsidR="00286A52" w:rsidRPr="00286A52" w:rsidRDefault="00286A52" w:rsidP="003D0A70">
            <w:pPr>
              <w:spacing w:after="120"/>
              <w:rPr>
                <w:lang w:val="en-NZ"/>
              </w:rPr>
            </w:pPr>
            <w:r w:rsidRPr="00286A52">
              <w:rPr>
                <w:b/>
                <w:bCs/>
                <w:lang w:val="en-NZ"/>
              </w:rPr>
              <w:t>Second Breach</w:t>
            </w:r>
          </w:p>
        </w:tc>
        <w:tc>
          <w:tcPr>
            <w:tcW w:w="0" w:type="auto"/>
            <w:vAlign w:val="center"/>
            <w:hideMark/>
          </w:tcPr>
          <w:p w14:paraId="771E2B6B" w14:textId="77777777" w:rsidR="00286A52" w:rsidRPr="00286A52" w:rsidRDefault="00286A52" w:rsidP="003D0A70">
            <w:pPr>
              <w:spacing w:after="120"/>
              <w:rPr>
                <w:lang w:val="en-NZ"/>
              </w:rPr>
            </w:pPr>
            <w:r w:rsidRPr="00286A52">
              <w:rPr>
                <w:lang w:val="en-NZ"/>
              </w:rPr>
              <w:t>Formal written notice and temporary ban from hui or activities</w:t>
            </w:r>
          </w:p>
        </w:tc>
      </w:tr>
      <w:tr w:rsidR="00286A52" w:rsidRPr="00286A52" w14:paraId="45B230C6" w14:textId="77777777" w:rsidTr="00286A52">
        <w:trPr>
          <w:tblCellSpacing w:w="15" w:type="dxa"/>
        </w:trPr>
        <w:tc>
          <w:tcPr>
            <w:tcW w:w="0" w:type="auto"/>
            <w:vAlign w:val="center"/>
            <w:hideMark/>
          </w:tcPr>
          <w:p w14:paraId="2435C01A" w14:textId="77777777" w:rsidR="00286A52" w:rsidRPr="00286A52" w:rsidRDefault="00286A52" w:rsidP="003D0A70">
            <w:pPr>
              <w:spacing w:after="120"/>
              <w:rPr>
                <w:lang w:val="en-NZ"/>
              </w:rPr>
            </w:pPr>
            <w:r w:rsidRPr="00286A52">
              <w:rPr>
                <w:b/>
                <w:bCs/>
                <w:lang w:val="en-NZ"/>
              </w:rPr>
              <w:lastRenderedPageBreak/>
              <w:t>Ongoing or Serious Breach</w:t>
            </w:r>
          </w:p>
        </w:tc>
        <w:tc>
          <w:tcPr>
            <w:tcW w:w="0" w:type="auto"/>
            <w:vAlign w:val="center"/>
            <w:hideMark/>
          </w:tcPr>
          <w:p w14:paraId="3D176609" w14:textId="77777777" w:rsidR="00286A52" w:rsidRPr="00286A52" w:rsidRDefault="00286A52" w:rsidP="003D0A70">
            <w:pPr>
              <w:spacing w:after="120"/>
              <w:rPr>
                <w:lang w:val="en-NZ"/>
              </w:rPr>
            </w:pPr>
            <w:r w:rsidRPr="00286A52">
              <w:rPr>
                <w:lang w:val="en-NZ"/>
              </w:rPr>
              <w:t xml:space="preserve">Trespass notice issued under the </w:t>
            </w:r>
            <w:r w:rsidRPr="00286A52">
              <w:rPr>
                <w:b/>
                <w:bCs/>
                <w:lang w:val="en-NZ"/>
              </w:rPr>
              <w:t>Trespass Act 1980</w:t>
            </w:r>
          </w:p>
        </w:tc>
      </w:tr>
      <w:tr w:rsidR="00286A52" w:rsidRPr="00286A52" w14:paraId="209E14F2" w14:textId="77777777" w:rsidTr="00286A52">
        <w:trPr>
          <w:tblCellSpacing w:w="15" w:type="dxa"/>
        </w:trPr>
        <w:tc>
          <w:tcPr>
            <w:tcW w:w="0" w:type="auto"/>
            <w:vAlign w:val="center"/>
            <w:hideMark/>
          </w:tcPr>
          <w:p w14:paraId="6005FD09" w14:textId="77777777" w:rsidR="00286A52" w:rsidRPr="00286A52" w:rsidRDefault="00286A52" w:rsidP="003D0A70">
            <w:pPr>
              <w:spacing w:after="120"/>
              <w:rPr>
                <w:lang w:val="en-NZ"/>
              </w:rPr>
            </w:pPr>
            <w:r w:rsidRPr="00286A52">
              <w:rPr>
                <w:b/>
                <w:bCs/>
                <w:lang w:val="en-NZ"/>
              </w:rPr>
              <w:t>Major Harm (e.g. violence, property damage)</w:t>
            </w:r>
          </w:p>
        </w:tc>
        <w:tc>
          <w:tcPr>
            <w:tcW w:w="0" w:type="auto"/>
            <w:vAlign w:val="center"/>
            <w:hideMark/>
          </w:tcPr>
          <w:p w14:paraId="60C92BB1" w14:textId="77777777" w:rsidR="00286A52" w:rsidRPr="00286A52" w:rsidRDefault="00286A52" w:rsidP="003D0A70">
            <w:pPr>
              <w:spacing w:after="120"/>
              <w:rPr>
                <w:lang w:val="en-NZ"/>
              </w:rPr>
            </w:pPr>
            <w:r w:rsidRPr="00286A52">
              <w:rPr>
                <w:lang w:val="en-NZ"/>
              </w:rPr>
              <w:t>Legal enforcement or civil claim for costs may follow</w:t>
            </w:r>
          </w:p>
        </w:tc>
      </w:tr>
    </w:tbl>
    <w:p w14:paraId="6B96541D" w14:textId="77777777" w:rsidR="00286A52" w:rsidRPr="00286A52" w:rsidRDefault="00286A52" w:rsidP="003D0A70">
      <w:pPr>
        <w:spacing w:after="120"/>
        <w:rPr>
          <w:lang w:val="en-NZ"/>
        </w:rPr>
      </w:pPr>
      <w:r w:rsidRPr="00286A52">
        <w:rPr>
          <w:rFonts w:ascii="Calibri" w:eastAsia="Calibri" w:hAnsi="Calibri"/>
          <w:lang w:val="en-NZ"/>
        </w:rPr>
        <w:t>All incidents and responses will be logged and reported to trustees for transparency.</w:t>
      </w:r>
    </w:p>
    <w:p w14:paraId="0125D254" w14:textId="77777777" w:rsidR="00286A52" w:rsidRPr="00286A52" w:rsidRDefault="00000000" w:rsidP="003D0A70">
      <w:pPr>
        <w:spacing w:after="120"/>
        <w:rPr>
          <w:lang w:val="en-NZ"/>
        </w:rPr>
      </w:pPr>
      <w:r>
        <w:rPr>
          <w:rFonts w:ascii="Calibri" w:eastAsia="Calibri" w:hAnsi="Calibri"/>
          <w:lang w:val="en-NZ"/>
        </w:rPr>
        <w:pict w14:anchorId="119FED66">
          <v:rect id="_x0000_i1040" style="width:0;height:1.5pt" o:hralign="center" o:hrstd="t" o:hr="t" fillcolor="#a0a0a0" stroked="f"/>
        </w:pict>
      </w:r>
    </w:p>
    <w:p w14:paraId="2302824F" w14:textId="77777777" w:rsidR="00286A52" w:rsidRPr="00286A52" w:rsidRDefault="00286A52" w:rsidP="003D0A70">
      <w:pPr>
        <w:spacing w:after="120"/>
        <w:rPr>
          <w:b/>
          <w:bCs/>
          <w:lang w:val="en-NZ"/>
        </w:rPr>
      </w:pPr>
      <w:r w:rsidRPr="00286A52">
        <w:rPr>
          <w:rFonts w:ascii="Calibri" w:eastAsia="Calibri" w:hAnsi="Calibri"/>
          <w:b/>
          <w:bCs/>
          <w:lang w:val="en-NZ"/>
        </w:rPr>
        <w:t>6.5 Trespass Process</w:t>
      </w:r>
    </w:p>
    <w:p w14:paraId="324DE778" w14:textId="77777777" w:rsidR="00286A52" w:rsidRPr="00286A52" w:rsidRDefault="00286A52" w:rsidP="003D0A70">
      <w:pPr>
        <w:spacing w:after="120"/>
        <w:rPr>
          <w:lang w:val="en-NZ"/>
        </w:rPr>
      </w:pPr>
      <w:r w:rsidRPr="00286A52">
        <w:rPr>
          <w:rFonts w:ascii="Calibri" w:eastAsia="Calibri" w:hAnsi="Calibri"/>
          <w:lang w:val="en-NZ"/>
        </w:rPr>
        <w:t>If an individual continues to breach the Code despite warnings:</w:t>
      </w:r>
    </w:p>
    <w:p w14:paraId="71B5B29B" w14:textId="77777777" w:rsidR="00286A52" w:rsidRPr="00286A52" w:rsidRDefault="00286A52" w:rsidP="003D0A70">
      <w:pPr>
        <w:numPr>
          <w:ilvl w:val="0"/>
          <w:numId w:val="35"/>
        </w:numPr>
        <w:spacing w:after="120"/>
        <w:rPr>
          <w:lang w:val="en-NZ"/>
        </w:rPr>
      </w:pPr>
      <w:r w:rsidRPr="00286A52">
        <w:rPr>
          <w:rFonts w:ascii="Calibri" w:eastAsia="Calibri" w:hAnsi="Calibri"/>
          <w:lang w:val="en-NZ"/>
        </w:rPr>
        <w:t>A resolution will be passed by the trustees</w:t>
      </w:r>
    </w:p>
    <w:p w14:paraId="6291DBDB" w14:textId="77777777" w:rsidR="00286A52" w:rsidRPr="00286A52" w:rsidRDefault="00286A52" w:rsidP="003D0A70">
      <w:pPr>
        <w:numPr>
          <w:ilvl w:val="0"/>
          <w:numId w:val="35"/>
        </w:numPr>
        <w:spacing w:after="120"/>
        <w:rPr>
          <w:lang w:val="en-NZ"/>
        </w:rPr>
      </w:pPr>
      <w:r w:rsidRPr="00286A52">
        <w:rPr>
          <w:rFonts w:ascii="Calibri" w:eastAsia="Calibri" w:hAnsi="Calibri"/>
          <w:lang w:val="en-NZ"/>
        </w:rPr>
        <w:t xml:space="preserve">A </w:t>
      </w:r>
      <w:r w:rsidRPr="00286A52">
        <w:rPr>
          <w:rFonts w:ascii="Calibri" w:eastAsia="Calibri" w:hAnsi="Calibri"/>
          <w:b/>
          <w:bCs/>
          <w:lang w:val="en-NZ"/>
        </w:rPr>
        <w:t>Trespass Notice</w:t>
      </w:r>
      <w:r w:rsidRPr="00286A52">
        <w:rPr>
          <w:rFonts w:ascii="Calibri" w:eastAsia="Calibri" w:hAnsi="Calibri"/>
          <w:lang w:val="en-NZ"/>
        </w:rPr>
        <w:t xml:space="preserve"> will be issued verbally, in writing, or by signage</w:t>
      </w:r>
    </w:p>
    <w:p w14:paraId="10AC463D" w14:textId="77777777" w:rsidR="00286A52" w:rsidRPr="00286A52" w:rsidRDefault="00286A52" w:rsidP="003D0A70">
      <w:pPr>
        <w:numPr>
          <w:ilvl w:val="0"/>
          <w:numId w:val="35"/>
        </w:numPr>
        <w:spacing w:after="120"/>
        <w:rPr>
          <w:lang w:val="en-NZ"/>
        </w:rPr>
      </w:pPr>
      <w:r w:rsidRPr="00286A52">
        <w:rPr>
          <w:rFonts w:ascii="Calibri" w:eastAsia="Calibri" w:hAnsi="Calibri"/>
          <w:lang w:val="en-NZ"/>
        </w:rPr>
        <w:t>The individual may be banned from:</w:t>
      </w:r>
    </w:p>
    <w:p w14:paraId="3C0F584B" w14:textId="77777777" w:rsidR="00286A52" w:rsidRPr="00286A52" w:rsidRDefault="00286A52" w:rsidP="003D0A70">
      <w:pPr>
        <w:numPr>
          <w:ilvl w:val="1"/>
          <w:numId w:val="35"/>
        </w:numPr>
        <w:spacing w:after="120"/>
        <w:rPr>
          <w:lang w:val="en-NZ"/>
        </w:rPr>
      </w:pPr>
      <w:r w:rsidRPr="00286A52">
        <w:rPr>
          <w:rFonts w:ascii="Calibri" w:eastAsia="Calibri" w:hAnsi="Calibri"/>
          <w:lang w:val="en-NZ"/>
        </w:rPr>
        <w:t>Entering trust land</w:t>
      </w:r>
    </w:p>
    <w:p w14:paraId="33BB0FB0" w14:textId="77777777" w:rsidR="00286A52" w:rsidRPr="00286A52" w:rsidRDefault="00286A52" w:rsidP="003D0A70">
      <w:pPr>
        <w:numPr>
          <w:ilvl w:val="1"/>
          <w:numId w:val="35"/>
        </w:numPr>
        <w:spacing w:after="120"/>
        <w:rPr>
          <w:lang w:val="en-NZ"/>
        </w:rPr>
      </w:pPr>
      <w:r w:rsidRPr="00286A52">
        <w:rPr>
          <w:rFonts w:ascii="Calibri" w:eastAsia="Calibri" w:hAnsi="Calibri"/>
          <w:lang w:val="en-NZ"/>
        </w:rPr>
        <w:t>Attending hui or wānanga</w:t>
      </w:r>
    </w:p>
    <w:p w14:paraId="2A558FA2" w14:textId="77777777" w:rsidR="00286A52" w:rsidRPr="00286A52" w:rsidRDefault="00286A52" w:rsidP="003D0A70">
      <w:pPr>
        <w:numPr>
          <w:ilvl w:val="0"/>
          <w:numId w:val="35"/>
        </w:numPr>
        <w:spacing w:after="120"/>
        <w:rPr>
          <w:lang w:val="en-NZ"/>
        </w:rPr>
      </w:pPr>
      <w:r w:rsidRPr="00286A52">
        <w:rPr>
          <w:rFonts w:ascii="Calibri" w:eastAsia="Calibri" w:hAnsi="Calibri"/>
          <w:lang w:val="en-NZ"/>
        </w:rPr>
        <w:t xml:space="preserve">Breaching a Trespass Notice may result in </w:t>
      </w:r>
      <w:r w:rsidRPr="00286A52">
        <w:rPr>
          <w:rFonts w:ascii="Calibri" w:eastAsia="Calibri" w:hAnsi="Calibri"/>
          <w:b/>
          <w:bCs/>
          <w:lang w:val="en-NZ"/>
        </w:rPr>
        <w:t>police involvement</w:t>
      </w:r>
      <w:r w:rsidRPr="00286A52">
        <w:rPr>
          <w:rFonts w:ascii="Calibri" w:eastAsia="Calibri" w:hAnsi="Calibri"/>
          <w:lang w:val="en-NZ"/>
        </w:rPr>
        <w:t xml:space="preserve"> and formal charges</w:t>
      </w:r>
    </w:p>
    <w:p w14:paraId="2F73F246" w14:textId="77777777" w:rsidR="00E92E79" w:rsidRDefault="00E92E79" w:rsidP="003D0A70">
      <w:pPr>
        <w:spacing w:after="120"/>
      </w:pPr>
    </w:p>
    <w:p w14:paraId="0E2238A8" w14:textId="77777777" w:rsidR="00E92E79" w:rsidRPr="00E92E79" w:rsidRDefault="00E92E79" w:rsidP="003D0A70">
      <w:pPr>
        <w:spacing w:after="120"/>
        <w:rPr>
          <w:rFonts w:asciiTheme="majorHAnsi" w:hAnsiTheme="majorHAnsi" w:cstheme="majorHAnsi"/>
          <w:b/>
          <w:bCs/>
          <w:color w:val="0070C0"/>
          <w:sz w:val="28"/>
          <w:szCs w:val="28"/>
          <w:lang w:val="en-NZ"/>
        </w:rPr>
      </w:pPr>
      <w:r>
        <w:rPr>
          <w:rFonts w:asciiTheme="majorHAnsi" w:eastAsia="Calibri" w:hAnsiTheme="majorHAnsi" w:cstheme="majorHAnsi"/>
          <w:b/>
          <w:bCs/>
          <w:color w:val="0070C0"/>
          <w:szCs w:val="28"/>
          <w:lang w:val="en-NZ"/>
        </w:rPr>
        <w:t>7</w:t>
      </w:r>
      <w:r w:rsidRPr="00E92E79">
        <w:rPr>
          <w:rFonts w:asciiTheme="majorHAnsi" w:eastAsia="Calibri" w:hAnsiTheme="majorHAnsi" w:cstheme="majorHAnsi"/>
          <w:b/>
          <w:bCs/>
          <w:color w:val="0070C0"/>
          <w:szCs w:val="28"/>
          <w:lang w:val="en-NZ"/>
        </w:rPr>
        <w:t>. Employment &amp; Contracting Framework</w:t>
      </w:r>
    </w:p>
    <w:p w14:paraId="51E4349C" w14:textId="77777777" w:rsidR="00E92E79" w:rsidRPr="00E92E79" w:rsidRDefault="00E92E79" w:rsidP="003D0A70">
      <w:pPr>
        <w:spacing w:after="120"/>
        <w:rPr>
          <w:lang w:val="en-NZ"/>
        </w:rPr>
      </w:pPr>
      <w:r w:rsidRPr="00E92E79">
        <w:rPr>
          <w:rFonts w:ascii="Calibri" w:eastAsia="Calibri" w:hAnsi="Calibri"/>
          <w:lang w:val="en-NZ"/>
        </w:rPr>
        <w:t>This section outlines the requirements and safeguards when engaging any contractor, employee, or service provider to work on behalf of the Taumore Ahu Whānau Trust.</w:t>
      </w:r>
    </w:p>
    <w:p w14:paraId="3AC32BA0" w14:textId="77777777" w:rsidR="00E92E79" w:rsidRPr="00E92E79" w:rsidRDefault="00E92E79" w:rsidP="003D0A70">
      <w:pPr>
        <w:spacing w:after="120"/>
        <w:rPr>
          <w:b/>
          <w:bCs/>
          <w:lang w:val="en-NZ"/>
        </w:rPr>
      </w:pPr>
      <w:r w:rsidRPr="00E92E79">
        <w:rPr>
          <w:rFonts w:ascii="Calibri" w:eastAsia="Calibri" w:hAnsi="Calibri"/>
          <w:b/>
          <w:bCs/>
          <w:lang w:val="en-NZ"/>
        </w:rPr>
        <w:t>Approval Process</w:t>
      </w:r>
    </w:p>
    <w:p w14:paraId="6C6D62A1" w14:textId="77777777" w:rsidR="00E92E79" w:rsidRPr="00E92E79" w:rsidRDefault="00E92E79" w:rsidP="003D0A70">
      <w:pPr>
        <w:numPr>
          <w:ilvl w:val="0"/>
          <w:numId w:val="13"/>
        </w:numPr>
        <w:spacing w:after="120"/>
        <w:rPr>
          <w:lang w:val="en-NZ"/>
        </w:rPr>
      </w:pPr>
      <w:r w:rsidRPr="00E92E79">
        <w:rPr>
          <w:rFonts w:ascii="Calibri" w:eastAsia="Calibri" w:hAnsi="Calibri"/>
          <w:lang w:val="en-NZ"/>
        </w:rPr>
        <w:t xml:space="preserve">All engagements must be approved by </w:t>
      </w:r>
      <w:r w:rsidRPr="00E92E79">
        <w:rPr>
          <w:rFonts w:ascii="Calibri" w:eastAsia="Calibri" w:hAnsi="Calibri"/>
          <w:b/>
          <w:bCs/>
          <w:lang w:val="en-NZ"/>
        </w:rPr>
        <w:t>formal trustee resolution</w:t>
      </w:r>
      <w:r w:rsidRPr="00E92E79">
        <w:rPr>
          <w:rFonts w:ascii="Calibri" w:eastAsia="Calibri" w:hAnsi="Calibri"/>
          <w:lang w:val="en-NZ"/>
        </w:rPr>
        <w:t>.</w:t>
      </w:r>
    </w:p>
    <w:p w14:paraId="3B6D9B99" w14:textId="77777777" w:rsidR="00E92E79" w:rsidRPr="00E92E79" w:rsidRDefault="00E92E79" w:rsidP="003D0A70">
      <w:pPr>
        <w:numPr>
          <w:ilvl w:val="0"/>
          <w:numId w:val="13"/>
        </w:numPr>
        <w:spacing w:after="120"/>
        <w:rPr>
          <w:lang w:val="en-NZ"/>
        </w:rPr>
      </w:pPr>
      <w:r w:rsidRPr="00E92E79">
        <w:rPr>
          <w:rFonts w:ascii="Calibri" w:eastAsia="Calibri" w:hAnsi="Calibri"/>
          <w:lang w:val="en-NZ"/>
        </w:rPr>
        <w:t>The work must clearly support the Trust’s kaupapa (e.g., whenua development, urupā maintenance, administration, communications).</w:t>
      </w:r>
    </w:p>
    <w:p w14:paraId="76F6FFA4" w14:textId="77777777" w:rsidR="00E92E79" w:rsidRPr="00E92E79" w:rsidRDefault="00E92E79" w:rsidP="003D0A70">
      <w:pPr>
        <w:spacing w:after="120"/>
        <w:rPr>
          <w:b/>
          <w:bCs/>
          <w:lang w:val="en-NZ"/>
        </w:rPr>
      </w:pPr>
      <w:r w:rsidRPr="00E92E79">
        <w:rPr>
          <w:rFonts w:ascii="Calibri" w:eastAsia="Calibri" w:hAnsi="Calibri"/>
          <w:b/>
          <w:bCs/>
          <w:lang w:val="en-NZ"/>
        </w:rPr>
        <w:t>Required Written Agreement</w:t>
      </w:r>
    </w:p>
    <w:p w14:paraId="7CBA2638" w14:textId="77777777" w:rsidR="00E92E79" w:rsidRPr="00E92E79" w:rsidRDefault="00E92E79" w:rsidP="003D0A70">
      <w:pPr>
        <w:spacing w:after="120"/>
        <w:rPr>
          <w:lang w:val="en-NZ"/>
        </w:rPr>
      </w:pPr>
      <w:r w:rsidRPr="00E92E79">
        <w:rPr>
          <w:rFonts w:ascii="Calibri" w:eastAsia="Calibri" w:hAnsi="Calibri"/>
          <w:lang w:val="en-NZ"/>
        </w:rPr>
        <w:t>Each contractor or employee must have a signed agreement or contract that includes:</w:t>
      </w:r>
    </w:p>
    <w:p w14:paraId="0C592510" w14:textId="77777777" w:rsidR="00E92E79" w:rsidRPr="00E92E79" w:rsidRDefault="00E92E79" w:rsidP="003D0A70">
      <w:pPr>
        <w:numPr>
          <w:ilvl w:val="0"/>
          <w:numId w:val="14"/>
        </w:numPr>
        <w:spacing w:after="120"/>
        <w:rPr>
          <w:lang w:val="en-NZ"/>
        </w:rPr>
      </w:pPr>
      <w:r w:rsidRPr="00E92E79">
        <w:rPr>
          <w:rFonts w:ascii="Calibri" w:eastAsia="Calibri" w:hAnsi="Calibri"/>
          <w:lang w:val="en-NZ"/>
        </w:rPr>
        <w:t>Scope of work</w:t>
      </w:r>
    </w:p>
    <w:p w14:paraId="52EF8DE2" w14:textId="77777777" w:rsidR="00E92E79" w:rsidRPr="00E92E79" w:rsidRDefault="00E92E79" w:rsidP="003D0A70">
      <w:pPr>
        <w:numPr>
          <w:ilvl w:val="0"/>
          <w:numId w:val="14"/>
        </w:numPr>
        <w:spacing w:after="120"/>
        <w:rPr>
          <w:lang w:val="en-NZ"/>
        </w:rPr>
      </w:pPr>
      <w:r w:rsidRPr="00E92E79">
        <w:rPr>
          <w:rFonts w:ascii="Calibri" w:eastAsia="Calibri" w:hAnsi="Calibri"/>
          <w:lang w:val="en-NZ"/>
        </w:rPr>
        <w:t>Duration or timeframe</w:t>
      </w:r>
    </w:p>
    <w:p w14:paraId="4B230459" w14:textId="77777777" w:rsidR="00E92E79" w:rsidRPr="00E92E79" w:rsidRDefault="00E92E79" w:rsidP="003D0A70">
      <w:pPr>
        <w:numPr>
          <w:ilvl w:val="0"/>
          <w:numId w:val="14"/>
        </w:numPr>
        <w:spacing w:after="120"/>
        <w:rPr>
          <w:lang w:val="en-NZ"/>
        </w:rPr>
      </w:pPr>
      <w:r w:rsidRPr="00E92E79">
        <w:rPr>
          <w:rFonts w:ascii="Calibri" w:eastAsia="Calibri" w:hAnsi="Calibri"/>
          <w:lang w:val="en-NZ"/>
        </w:rPr>
        <w:t>Compensation or payment terms</w:t>
      </w:r>
    </w:p>
    <w:p w14:paraId="196A9DBB" w14:textId="77777777" w:rsidR="00E92E79" w:rsidRPr="00E92E79" w:rsidRDefault="00E92E79" w:rsidP="003D0A70">
      <w:pPr>
        <w:numPr>
          <w:ilvl w:val="0"/>
          <w:numId w:val="14"/>
        </w:numPr>
        <w:spacing w:after="120"/>
        <w:rPr>
          <w:lang w:val="en-NZ"/>
        </w:rPr>
      </w:pPr>
      <w:r w:rsidRPr="00E92E79">
        <w:rPr>
          <w:rFonts w:ascii="Calibri" w:eastAsia="Calibri" w:hAnsi="Calibri"/>
          <w:lang w:val="en-NZ"/>
        </w:rPr>
        <w:t>Reporting expectations</w:t>
      </w:r>
    </w:p>
    <w:p w14:paraId="2A31C8C8" w14:textId="77777777" w:rsidR="00E92E79" w:rsidRPr="00E92E79" w:rsidRDefault="00E92E79" w:rsidP="003D0A70">
      <w:pPr>
        <w:numPr>
          <w:ilvl w:val="0"/>
          <w:numId w:val="14"/>
        </w:numPr>
        <w:spacing w:after="120"/>
        <w:rPr>
          <w:lang w:val="en-NZ"/>
        </w:rPr>
      </w:pPr>
      <w:r w:rsidRPr="00E92E79">
        <w:rPr>
          <w:rFonts w:ascii="Calibri" w:eastAsia="Calibri" w:hAnsi="Calibri"/>
          <w:lang w:val="en-NZ"/>
        </w:rPr>
        <w:t>Conduct expectations aligned with Trust policies</w:t>
      </w:r>
    </w:p>
    <w:p w14:paraId="52F05CD3" w14:textId="77777777" w:rsidR="00E92E79" w:rsidRPr="00E92E79" w:rsidRDefault="00E92E79" w:rsidP="003D0A70">
      <w:pPr>
        <w:spacing w:after="120"/>
        <w:rPr>
          <w:b/>
          <w:bCs/>
          <w:lang w:val="en-NZ"/>
        </w:rPr>
      </w:pPr>
      <w:r w:rsidRPr="00E92E79">
        <w:rPr>
          <w:rFonts w:ascii="Calibri" w:eastAsia="Calibri" w:hAnsi="Calibri"/>
          <w:b/>
          <w:bCs/>
          <w:lang w:val="en-NZ"/>
        </w:rPr>
        <w:t>Conflict of Interest Management</w:t>
      </w:r>
    </w:p>
    <w:p w14:paraId="6A25DF05" w14:textId="77777777" w:rsidR="00E92E79" w:rsidRPr="00E92E79" w:rsidRDefault="00E92E79" w:rsidP="003D0A70">
      <w:pPr>
        <w:numPr>
          <w:ilvl w:val="0"/>
          <w:numId w:val="15"/>
        </w:numPr>
        <w:spacing w:after="120"/>
        <w:rPr>
          <w:lang w:val="en-NZ"/>
        </w:rPr>
      </w:pPr>
      <w:r w:rsidRPr="00E92E79">
        <w:rPr>
          <w:rFonts w:ascii="Calibri" w:eastAsia="Calibri" w:hAnsi="Calibri"/>
          <w:lang w:val="en-NZ"/>
        </w:rPr>
        <w:lastRenderedPageBreak/>
        <w:t>Any trustee with a personal or whānau connection to a proposed contractor must:</w:t>
      </w:r>
    </w:p>
    <w:p w14:paraId="49E9B0E3" w14:textId="77777777" w:rsidR="00E92E79" w:rsidRPr="00E92E79" w:rsidRDefault="00E92E79" w:rsidP="003D0A70">
      <w:pPr>
        <w:numPr>
          <w:ilvl w:val="1"/>
          <w:numId w:val="15"/>
        </w:numPr>
        <w:spacing w:after="120"/>
        <w:rPr>
          <w:lang w:val="en-NZ"/>
        </w:rPr>
      </w:pPr>
      <w:r w:rsidRPr="00E92E79">
        <w:rPr>
          <w:rFonts w:ascii="Calibri" w:eastAsia="Calibri" w:hAnsi="Calibri"/>
          <w:b/>
          <w:bCs/>
          <w:lang w:val="en-NZ"/>
        </w:rPr>
        <w:t>Declare the relationship/conflict</w:t>
      </w:r>
    </w:p>
    <w:p w14:paraId="2533C7C9" w14:textId="77777777" w:rsidR="00E92E79" w:rsidRPr="00E92E79" w:rsidRDefault="00E92E79" w:rsidP="003D0A70">
      <w:pPr>
        <w:numPr>
          <w:ilvl w:val="1"/>
          <w:numId w:val="15"/>
        </w:numPr>
        <w:spacing w:after="120"/>
        <w:rPr>
          <w:lang w:val="en-NZ"/>
        </w:rPr>
      </w:pPr>
      <w:r w:rsidRPr="00E92E79">
        <w:rPr>
          <w:rFonts w:ascii="Calibri" w:eastAsia="Calibri" w:hAnsi="Calibri"/>
          <w:b/>
          <w:bCs/>
          <w:lang w:val="en-NZ"/>
        </w:rPr>
        <w:t>Abstain from discussion or voting</w:t>
      </w:r>
    </w:p>
    <w:p w14:paraId="4E844342" w14:textId="77777777" w:rsidR="00E92E79" w:rsidRPr="00E92E79" w:rsidRDefault="00E92E79" w:rsidP="003D0A70">
      <w:pPr>
        <w:numPr>
          <w:ilvl w:val="0"/>
          <w:numId w:val="15"/>
        </w:numPr>
        <w:spacing w:after="120"/>
        <w:rPr>
          <w:lang w:val="en-NZ"/>
        </w:rPr>
      </w:pPr>
      <w:r w:rsidRPr="00E92E79">
        <w:rPr>
          <w:rFonts w:ascii="Calibri" w:eastAsia="Calibri" w:hAnsi="Calibri"/>
          <w:lang w:val="en-NZ"/>
        </w:rPr>
        <w:t>This ensures transparency and maintains trust integrity.</w:t>
      </w:r>
    </w:p>
    <w:p w14:paraId="431521A1" w14:textId="77777777" w:rsidR="00E92E79" w:rsidRPr="00E92E79" w:rsidRDefault="00E92E79" w:rsidP="003D0A70">
      <w:pPr>
        <w:spacing w:after="120"/>
        <w:rPr>
          <w:b/>
          <w:bCs/>
          <w:lang w:val="en-NZ"/>
        </w:rPr>
      </w:pPr>
      <w:r w:rsidRPr="00E92E79">
        <w:rPr>
          <w:rFonts w:ascii="Calibri" w:eastAsia="Calibri" w:hAnsi="Calibri"/>
          <w:b/>
          <w:bCs/>
          <w:lang w:val="en-NZ"/>
        </w:rPr>
        <w:t>Code of Conduct Compliance</w:t>
      </w:r>
    </w:p>
    <w:p w14:paraId="1CB7F17C" w14:textId="77777777" w:rsidR="00E92E79" w:rsidRPr="00E92E79" w:rsidRDefault="00E92E79" w:rsidP="003D0A70">
      <w:pPr>
        <w:numPr>
          <w:ilvl w:val="0"/>
          <w:numId w:val="16"/>
        </w:numPr>
        <w:spacing w:after="120"/>
        <w:rPr>
          <w:lang w:val="en-NZ"/>
        </w:rPr>
      </w:pPr>
      <w:r w:rsidRPr="00E92E79">
        <w:rPr>
          <w:rFonts w:ascii="Calibri" w:eastAsia="Calibri" w:hAnsi="Calibri"/>
          <w:lang w:val="en-NZ"/>
        </w:rPr>
        <w:t xml:space="preserve">All workers, contractors, or external parties engaged by the Trust are required to comply with the </w:t>
      </w:r>
      <w:r w:rsidRPr="00E92E79">
        <w:rPr>
          <w:rFonts w:ascii="Calibri" w:eastAsia="Calibri" w:hAnsi="Calibri"/>
          <w:b/>
          <w:bCs/>
          <w:lang w:val="en-NZ"/>
        </w:rPr>
        <w:t>Whānau Code of Conduct</w:t>
      </w:r>
      <w:r w:rsidRPr="00E92E79">
        <w:rPr>
          <w:rFonts w:ascii="Calibri" w:eastAsia="Calibri" w:hAnsi="Calibri"/>
          <w:lang w:val="en-NZ"/>
        </w:rPr>
        <w:t>.</w:t>
      </w:r>
    </w:p>
    <w:p w14:paraId="57B7ED46" w14:textId="77777777" w:rsidR="00E92E79" w:rsidRPr="00E92E79" w:rsidRDefault="00E92E79" w:rsidP="003D0A70">
      <w:pPr>
        <w:numPr>
          <w:ilvl w:val="0"/>
          <w:numId w:val="16"/>
        </w:numPr>
        <w:spacing w:after="120"/>
        <w:rPr>
          <w:lang w:val="en-NZ"/>
        </w:rPr>
      </w:pPr>
      <w:r w:rsidRPr="00E92E79">
        <w:rPr>
          <w:rFonts w:ascii="Calibri" w:eastAsia="Calibri" w:hAnsi="Calibri"/>
          <w:lang w:val="en-NZ"/>
        </w:rPr>
        <w:t>Breaches may result in:</w:t>
      </w:r>
    </w:p>
    <w:p w14:paraId="46167E5B" w14:textId="77777777" w:rsidR="00E92E79" w:rsidRPr="00E92E79" w:rsidRDefault="00E92E79" w:rsidP="003D0A70">
      <w:pPr>
        <w:numPr>
          <w:ilvl w:val="1"/>
          <w:numId w:val="16"/>
        </w:numPr>
        <w:spacing w:after="120"/>
        <w:rPr>
          <w:lang w:val="en-NZ"/>
        </w:rPr>
      </w:pPr>
      <w:r w:rsidRPr="00E92E79">
        <w:rPr>
          <w:rFonts w:ascii="Calibri" w:eastAsia="Calibri" w:hAnsi="Calibri"/>
          <w:lang w:val="en-NZ"/>
        </w:rPr>
        <w:t>Immediate removal from the whenua or kaupapa</w:t>
      </w:r>
    </w:p>
    <w:p w14:paraId="67FA406C" w14:textId="77777777" w:rsidR="00E92E79" w:rsidRPr="00E92E79" w:rsidRDefault="00E92E79" w:rsidP="003D0A70">
      <w:pPr>
        <w:numPr>
          <w:ilvl w:val="1"/>
          <w:numId w:val="16"/>
        </w:numPr>
        <w:spacing w:after="120"/>
        <w:rPr>
          <w:lang w:val="en-NZ"/>
        </w:rPr>
      </w:pPr>
      <w:r w:rsidRPr="00E92E79">
        <w:rPr>
          <w:rFonts w:ascii="Calibri" w:eastAsia="Calibri" w:hAnsi="Calibri"/>
          <w:lang w:val="en-NZ"/>
        </w:rPr>
        <w:t>Written warnings or contract termination</w:t>
      </w:r>
    </w:p>
    <w:p w14:paraId="06866780" w14:textId="77777777" w:rsidR="00E92E79" w:rsidRPr="00E92E79" w:rsidRDefault="00E92E79" w:rsidP="003D0A70">
      <w:pPr>
        <w:numPr>
          <w:ilvl w:val="1"/>
          <w:numId w:val="16"/>
        </w:numPr>
        <w:spacing w:after="120"/>
        <w:rPr>
          <w:lang w:val="en-NZ"/>
        </w:rPr>
      </w:pPr>
      <w:r w:rsidRPr="00E92E79">
        <w:rPr>
          <w:rFonts w:ascii="Calibri" w:eastAsia="Calibri" w:hAnsi="Calibri"/>
          <w:lang w:val="en-NZ"/>
        </w:rPr>
        <w:t>Further action if damage, harm, or misconduct occurs</w:t>
      </w:r>
    </w:p>
    <w:p w14:paraId="6D3D3B11" w14:textId="77777777" w:rsidR="00E92E79" w:rsidRPr="00E92E79" w:rsidRDefault="00E92E79" w:rsidP="003D0A70">
      <w:pPr>
        <w:spacing w:after="120"/>
        <w:rPr>
          <w:b/>
          <w:bCs/>
          <w:lang w:val="en-NZ"/>
        </w:rPr>
      </w:pPr>
      <w:r w:rsidRPr="00E92E79">
        <w:rPr>
          <w:rFonts w:ascii="Calibri" w:eastAsia="Calibri" w:hAnsi="Calibri"/>
          <w:b/>
          <w:bCs/>
          <w:lang w:val="en-NZ"/>
        </w:rPr>
        <w:t>Oversight &amp; Accountability</w:t>
      </w:r>
    </w:p>
    <w:p w14:paraId="610FE366" w14:textId="77777777" w:rsidR="00E92E79" w:rsidRPr="00E92E79" w:rsidRDefault="00E92E79" w:rsidP="003D0A70">
      <w:pPr>
        <w:numPr>
          <w:ilvl w:val="0"/>
          <w:numId w:val="17"/>
        </w:numPr>
        <w:spacing w:after="120"/>
        <w:rPr>
          <w:lang w:val="en-NZ"/>
        </w:rPr>
      </w:pPr>
      <w:r w:rsidRPr="00E92E79">
        <w:rPr>
          <w:rFonts w:ascii="Calibri" w:eastAsia="Calibri" w:hAnsi="Calibri"/>
          <w:lang w:val="en-NZ"/>
        </w:rPr>
        <w:t>The Secretary and/or Chairperson must ensure proper documentation is kept.</w:t>
      </w:r>
    </w:p>
    <w:p w14:paraId="3993B35F" w14:textId="77777777" w:rsidR="00E92E79" w:rsidRPr="00E92E79" w:rsidRDefault="00E92E79" w:rsidP="003D0A70">
      <w:pPr>
        <w:numPr>
          <w:ilvl w:val="0"/>
          <w:numId w:val="17"/>
        </w:numPr>
        <w:spacing w:after="120"/>
        <w:rPr>
          <w:lang w:val="en-NZ"/>
        </w:rPr>
      </w:pPr>
      <w:r w:rsidRPr="00E92E79">
        <w:rPr>
          <w:rFonts w:ascii="Calibri" w:eastAsia="Calibri" w:hAnsi="Calibri"/>
          <w:lang w:val="en-NZ"/>
        </w:rPr>
        <w:t xml:space="preserve">All engagements must be </w:t>
      </w:r>
      <w:r w:rsidRPr="00E92E79">
        <w:rPr>
          <w:rFonts w:ascii="Calibri" w:eastAsia="Calibri" w:hAnsi="Calibri"/>
          <w:b/>
          <w:bCs/>
          <w:lang w:val="en-NZ"/>
        </w:rPr>
        <w:t>reported back at a whānau hui</w:t>
      </w:r>
      <w:r w:rsidRPr="00E92E79">
        <w:rPr>
          <w:rFonts w:ascii="Calibri" w:eastAsia="Calibri" w:hAnsi="Calibri"/>
          <w:lang w:val="en-NZ"/>
        </w:rPr>
        <w:t xml:space="preserve"> or trustee meeting.</w:t>
      </w:r>
    </w:p>
    <w:p w14:paraId="72550BE4" w14:textId="77777777" w:rsidR="00E92E79" w:rsidRPr="00E92E79" w:rsidRDefault="00E92E79" w:rsidP="003D0A70">
      <w:pPr>
        <w:numPr>
          <w:ilvl w:val="0"/>
          <w:numId w:val="17"/>
        </w:numPr>
        <w:spacing w:after="120"/>
        <w:rPr>
          <w:lang w:val="en-NZ"/>
        </w:rPr>
      </w:pPr>
      <w:r w:rsidRPr="00E92E79">
        <w:rPr>
          <w:rFonts w:ascii="Calibri" w:eastAsia="Calibri" w:hAnsi="Calibri"/>
          <w:lang w:val="en-NZ"/>
        </w:rPr>
        <w:t>Contracts, reports, and payments must be available for review by contributing members upon request.</w:t>
      </w:r>
    </w:p>
    <w:p w14:paraId="43B61580" w14:textId="77777777" w:rsidR="00E92E79" w:rsidRDefault="00E92E79" w:rsidP="003D0A70">
      <w:pPr>
        <w:spacing w:after="120"/>
      </w:pPr>
    </w:p>
    <w:p w14:paraId="3B63AA17" w14:textId="77777777" w:rsidR="00C179AC" w:rsidRPr="00B36C30" w:rsidRDefault="00E92E79" w:rsidP="003D0A70">
      <w:pPr>
        <w:pStyle w:val="Heading1"/>
        <w:spacing w:before="0" w:after="120"/>
        <w:rPr>
          <w:color w:val="0070C0"/>
        </w:rPr>
      </w:pPr>
      <w:r>
        <w:rPr>
          <w:rFonts w:ascii="Calibri" w:eastAsia="Calibri" w:hAnsi="Calibri"/>
          <w:color w:val="0070C0"/>
          <w:sz w:val="22"/>
        </w:rPr>
        <w:t>8</w:t>
      </w:r>
      <w:r w:rsidRPr="00B36C30">
        <w:rPr>
          <w:rFonts w:ascii="Calibri" w:eastAsia="Calibri" w:hAnsi="Calibri"/>
          <w:color w:val="0070C0"/>
          <w:sz w:val="22"/>
        </w:rPr>
        <w:t>. Application and Review</w:t>
      </w:r>
    </w:p>
    <w:p w14:paraId="7980FEFB" w14:textId="77777777" w:rsidR="00C179AC" w:rsidRDefault="00000000" w:rsidP="003D0A70">
      <w:pPr>
        <w:spacing w:after="120"/>
      </w:pPr>
      <w:r>
        <w:rPr>
          <w:rFonts w:ascii="Calibri" w:eastAsia="Calibri" w:hAnsi="Calibri"/>
        </w:rPr>
        <w:t>This Governance Charter has been adopted to uphold the kaupapa of the Taumore Ahu Whenua Trust. It is designed to empower trustees to act with integrity while protecting the collective rights of the whānau. Any part of this document may be reviewed and updated by resolution at a whānau hui, provided that such changes remain consistent with the overarching Māori Land Court Trust Order.</w:t>
      </w:r>
    </w:p>
    <w:p w14:paraId="1C1AA073" w14:textId="77777777" w:rsidR="00F90A57" w:rsidRDefault="00F90A57"/>
    <w:p w14:paraId="64C2E016" w14:textId="03DBEFB9" w:rsidR="00C16CFC" w:rsidRDefault="00000000">
      <w:r>
        <w:rPr>
          <w:rFonts w:ascii="Calibri" w:eastAsia="Calibri" w:hAnsi="Calibri"/>
          <w:lang w:val="en-NZ"/>
        </w:rPr>
        <w:pict w14:anchorId="448A2C8D">
          <v:rect id="_x0000_i1041" style="width:0;height:1.5pt" o:hralign="center" o:hrstd="t" o:hr="t" fillcolor="#a0a0a0" stroked="f"/>
        </w:pict>
      </w:r>
      <w:r w:rsidR="00F90A57">
        <w:br w:type="page"/>
      </w:r>
    </w:p>
    <w:p w14:paraId="4F9C443E" w14:textId="1D1DD73A" w:rsidR="00F90A57" w:rsidRPr="00B36C30" w:rsidRDefault="00F90A57" w:rsidP="00F90A57">
      <w:pPr>
        <w:pStyle w:val="Heading1"/>
        <w:spacing w:before="0" w:after="120"/>
        <w:rPr>
          <w:color w:val="0070C0"/>
        </w:rPr>
      </w:pPr>
      <w:r>
        <w:rPr>
          <w:rFonts w:ascii="Calibri" w:eastAsia="Calibri" w:hAnsi="Calibri"/>
          <w:color w:val="0070C0"/>
          <w:sz w:val="22"/>
        </w:rPr>
        <w:lastRenderedPageBreak/>
        <w:t>9</w:t>
      </w:r>
      <w:r w:rsidRPr="00B36C30">
        <w:rPr>
          <w:rFonts w:ascii="Calibri" w:eastAsia="Calibri" w:hAnsi="Calibri"/>
          <w:color w:val="0070C0"/>
          <w:sz w:val="22"/>
        </w:rPr>
        <w:t xml:space="preserve">. </w:t>
      </w:r>
      <w:r>
        <w:rPr>
          <w:rFonts w:ascii="Calibri" w:eastAsia="Calibri" w:hAnsi="Calibri"/>
          <w:color w:val="0070C0"/>
          <w:sz w:val="22"/>
        </w:rPr>
        <w:t>Glossary of Terms and Conditions</w:t>
      </w:r>
    </w:p>
    <w:p w14:paraId="767ED948" w14:textId="77777777" w:rsidR="00C16CFC" w:rsidRDefault="00000000">
      <w:r>
        <w:rPr>
          <w:b/>
        </w:rPr>
        <w:t xml:space="preserve">Beneficiary: </w:t>
      </w:r>
      <w:r>
        <w:t>A person who whakapapa to Hautakiri Thomas Castle and Emily Roka Huitora Pekewhati Castle and is entitled to benefit from the trust.</w:t>
      </w:r>
    </w:p>
    <w:p w14:paraId="7B62A580" w14:textId="77777777" w:rsidR="00C16CFC" w:rsidRDefault="00000000">
      <w:r>
        <w:rPr>
          <w:b/>
        </w:rPr>
        <w:t xml:space="preserve">Contributing Member: </w:t>
      </w:r>
      <w:r>
        <w:t>A beneficiary who actively supports the Trust kaupapa through koha, participation, or service, and who has voting rights on specific trust matters.</w:t>
      </w:r>
    </w:p>
    <w:p w14:paraId="12741391" w14:textId="77777777" w:rsidR="00C16CFC" w:rsidRDefault="00000000">
      <w:r>
        <w:rPr>
          <w:b/>
        </w:rPr>
        <w:t xml:space="preserve">Conflict of Interest: </w:t>
      </w:r>
      <w:r>
        <w:t>A situation where a trustee’s personal, financial, or whānau interests may interfere with their duty to act solely in the best interest of the Trust.</w:t>
      </w:r>
    </w:p>
    <w:p w14:paraId="0A1F6318" w14:textId="77777777" w:rsidR="00C16CFC" w:rsidRDefault="00000000">
      <w:r>
        <w:rPr>
          <w:b/>
        </w:rPr>
        <w:t xml:space="preserve">Contractor: </w:t>
      </w:r>
      <w:r>
        <w:t>Any person or business engaged by the Trust to perform paid services, including builders, advisors, and suppliers.</w:t>
      </w:r>
    </w:p>
    <w:p w14:paraId="712932C8" w14:textId="77777777" w:rsidR="00C16CFC" w:rsidRDefault="00000000">
      <w:r>
        <w:rPr>
          <w:b/>
        </w:rPr>
        <w:t xml:space="preserve">Employee: </w:t>
      </w:r>
      <w:r>
        <w:t>A person employed by the Trust to carry out duties under a signed employment agreement.</w:t>
      </w:r>
    </w:p>
    <w:p w14:paraId="548E2328" w14:textId="77777777" w:rsidR="00C16CFC" w:rsidRDefault="00000000">
      <w:r>
        <w:rPr>
          <w:b/>
        </w:rPr>
        <w:t xml:space="preserve">Trustee Resolution: </w:t>
      </w:r>
      <w:r>
        <w:t>A formal decision agreed to and recorded by the majority of trustees during a hui or via signed statement.</w:t>
      </w:r>
    </w:p>
    <w:p w14:paraId="6BE7A326" w14:textId="77777777" w:rsidR="00C16CFC" w:rsidRDefault="00000000">
      <w:r>
        <w:rPr>
          <w:b/>
        </w:rPr>
        <w:t xml:space="preserve">Special Meeting: </w:t>
      </w:r>
      <w:r>
        <w:t>A hui called specifically to discuss urgent or significant trust matters, such as disciplinary hearings or legal responses.</w:t>
      </w:r>
    </w:p>
    <w:p w14:paraId="306ADF0B" w14:textId="77777777" w:rsidR="00C16CFC" w:rsidRDefault="00000000">
      <w:r>
        <w:rPr>
          <w:b/>
        </w:rPr>
        <w:t xml:space="preserve">Trespass Notice: </w:t>
      </w:r>
      <w:r>
        <w:t>A legal directive issued under the Trespass Act 1980 that bans an individual from entering Trust land or attending Trust activities.</w:t>
      </w:r>
    </w:p>
    <w:p w14:paraId="0EFB74C0" w14:textId="77777777" w:rsidR="00C16CFC" w:rsidRDefault="00000000">
      <w:r>
        <w:rPr>
          <w:b/>
        </w:rPr>
        <w:t xml:space="preserve">Whānau Code of Conduct: </w:t>
      </w:r>
      <w:r>
        <w:t>A policy outlining behaviour standards for uri, trustees, and visitors while engaging in trust matters or accessing the whenua.</w:t>
      </w:r>
    </w:p>
    <w:p w14:paraId="5FBAB5BA" w14:textId="77777777" w:rsidR="00C16CFC" w:rsidRDefault="00000000">
      <w:r>
        <w:rPr>
          <w:b/>
        </w:rPr>
        <w:t xml:space="preserve">Whānau Dispute Mediation: </w:t>
      </w:r>
      <w:r>
        <w:t>A process where a neutral trustee or kaumātua helps uri or trustees resolve conflicts respectfully and in accordance with tikanga.</w:t>
      </w:r>
    </w:p>
    <w:sectPr w:rsidR="00C16CFC"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1FAB" w14:textId="77777777" w:rsidR="00BB2709" w:rsidRDefault="00BB2709" w:rsidP="00EA5DB3">
      <w:pPr>
        <w:spacing w:after="0" w:line="240" w:lineRule="auto"/>
      </w:pPr>
      <w:r>
        <w:separator/>
      </w:r>
    </w:p>
  </w:endnote>
  <w:endnote w:type="continuationSeparator" w:id="0">
    <w:p w14:paraId="1E127F96" w14:textId="77777777" w:rsidR="00BB2709" w:rsidRDefault="00BB2709" w:rsidP="00EA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AC9A1" w14:textId="77777777" w:rsidR="008776A7" w:rsidRDefault="00877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190825"/>
      <w:docPartObj>
        <w:docPartGallery w:val="Page Numbers (Bottom of Page)"/>
        <w:docPartUnique/>
      </w:docPartObj>
    </w:sdtPr>
    <w:sdtContent>
      <w:sdt>
        <w:sdtPr>
          <w:id w:val="-1705238520"/>
          <w:docPartObj>
            <w:docPartGallery w:val="Page Numbers (Top of Page)"/>
            <w:docPartUnique/>
          </w:docPartObj>
        </w:sdtPr>
        <w:sdtContent>
          <w:p w14:paraId="4A630512" w14:textId="77777777" w:rsidR="00EA5DB3" w:rsidRDefault="00EA5DB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C65D61" w14:textId="77777777" w:rsidR="00EA5DB3" w:rsidRDefault="00EA5DB3">
    <w:pPr>
      <w:pStyle w:val="Footer"/>
      <w:jc w:val="center"/>
    </w:pPr>
    <w:r>
      <w:t xml:space="preserve">Page </w:t>
    </w:r>
    <w:r>
      <w:fldChar w:fldCharType="begin"/>
    </w:r>
    <w:r>
      <w:instrText>PAGE</w:instrText>
    </w:r>
    <w:r>
      <w:fldChar w:fldCharType="separate"/>
    </w:r>
    <w:r w:rsidR="00B203F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E7CA" w14:textId="77777777" w:rsidR="008776A7" w:rsidRDefault="0087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BB43" w14:textId="77777777" w:rsidR="00BB2709" w:rsidRDefault="00BB2709" w:rsidP="00EA5DB3">
      <w:pPr>
        <w:spacing w:after="0" w:line="240" w:lineRule="auto"/>
      </w:pPr>
      <w:r>
        <w:separator/>
      </w:r>
    </w:p>
  </w:footnote>
  <w:footnote w:type="continuationSeparator" w:id="0">
    <w:p w14:paraId="284E4DC1" w14:textId="77777777" w:rsidR="00BB2709" w:rsidRDefault="00BB2709" w:rsidP="00EA5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7474" w14:textId="79AEE7DE" w:rsidR="00EA5DB3" w:rsidRDefault="008776A7">
    <w:pPr>
      <w:pStyle w:val="Header"/>
    </w:pPr>
    <w:r>
      <w:rPr>
        <w:noProof/>
      </w:rPr>
      <w:pict w14:anchorId="3CD2A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715563" o:spid="_x0000_s1028" type="#_x0000_t136" style="position:absolute;margin-left:0;margin-top:0;width:498.35pt;height:110.7pt;rotation:315;z-index:-251655168;mso-position-horizontal:center;mso-position-horizontal-relative:margin;mso-position-vertical:center;mso-position-vertical-relative:margin" o:allowincell="f" fillcolor="silver" stroked="f">
          <v:fill opacity=".5"/>
          <v:textpath style="font-family:&quot;Cambria&quot;;font-size:1pt" string="DRAFT DE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BAD1" w14:textId="7D4AB017" w:rsidR="005A6494" w:rsidRPr="00B36C30" w:rsidRDefault="008776A7" w:rsidP="005A6494">
    <w:pPr>
      <w:pStyle w:val="Title"/>
      <w:spacing w:after="120" w:line="276" w:lineRule="auto"/>
      <w:jc w:val="center"/>
      <w:rPr>
        <w:color w:val="0070C0"/>
      </w:rPr>
    </w:pPr>
    <w:r>
      <w:rPr>
        <w:noProof/>
      </w:rPr>
      <w:pict w14:anchorId="41F20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715564" o:spid="_x0000_s1029" type="#_x0000_t136" style="position:absolute;left:0;text-align:left;margin-left:0;margin-top:0;width:498.35pt;height:110.7pt;rotation:315;z-index:-251653120;mso-position-horizontal:center;mso-position-horizontal-relative:margin;mso-position-vertical:center;mso-position-vertical-relative:margin" o:allowincell="f" fillcolor="silver" stroked="f">
          <v:fill opacity=".5"/>
          <v:textpath style="font-family:&quot;Cambria&quot;;font-size:1pt" string="DRAFT DEED"/>
        </v:shape>
      </w:pict>
    </w:r>
    <w:r w:rsidR="00825624">
      <w:rPr>
        <w:rFonts w:ascii="Calibri" w:eastAsia="Calibri" w:hAnsi="Calibri"/>
        <w:color w:val="0070C0"/>
        <w:sz w:val="22"/>
      </w:rPr>
      <w:t xml:space="preserve">Draft </w:t>
    </w:r>
    <w:r w:rsidR="005A6494" w:rsidRPr="00B36C30">
      <w:rPr>
        <w:rFonts w:ascii="Calibri" w:eastAsia="Calibri" w:hAnsi="Calibri"/>
        <w:color w:val="0070C0"/>
        <w:sz w:val="22"/>
      </w:rPr>
      <w:t>Taumore Ahu Whenua Trust</w:t>
    </w:r>
    <w:r w:rsidR="005A6494">
      <w:rPr>
        <w:rFonts w:ascii="Calibri" w:eastAsia="Calibri" w:hAnsi="Calibri"/>
        <w:color w:val="0070C0"/>
        <w:sz w:val="22"/>
      </w:rPr>
      <w:t xml:space="preserve"> Deed</w:t>
    </w:r>
  </w:p>
  <w:p w14:paraId="52930845" w14:textId="77777777" w:rsidR="00EA5DB3" w:rsidRDefault="00EA5DB3">
    <w:pPr>
      <w:pStyle w:val="Header"/>
    </w:pPr>
  </w:p>
  <w:p w14:paraId="6DB128F0" w14:textId="77777777" w:rsidR="00EA5DB3" w:rsidRDefault="00EA5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7B09" w14:textId="55BEC668" w:rsidR="00EA5DB3" w:rsidRDefault="008776A7">
    <w:pPr>
      <w:pStyle w:val="Header"/>
    </w:pPr>
    <w:r>
      <w:rPr>
        <w:noProof/>
      </w:rPr>
      <w:pict w14:anchorId="4BA00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715562" o:spid="_x0000_s1027" type="#_x0000_t136" style="position:absolute;margin-left:0;margin-top:0;width:498.35pt;height:110.7pt;rotation:315;z-index:-251657216;mso-position-horizontal:center;mso-position-horizontal-relative:margin;mso-position-vertical:center;mso-position-vertical-relative:margin" o:allowincell="f" fillcolor="silver" stroked="f">
          <v:fill opacity=".5"/>
          <v:textpath style="font-family:&quot;Cambria&quot;;font-size:1pt" string="DRAFT DE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5F175A"/>
    <w:multiLevelType w:val="multilevel"/>
    <w:tmpl w:val="1DD8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056FE9"/>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72740"/>
    <w:multiLevelType w:val="multilevel"/>
    <w:tmpl w:val="E602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C491D"/>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37A6A"/>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F3FE9"/>
    <w:multiLevelType w:val="multilevel"/>
    <w:tmpl w:val="41A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A43C5A"/>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AA2609"/>
    <w:multiLevelType w:val="multilevel"/>
    <w:tmpl w:val="D070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724565"/>
    <w:multiLevelType w:val="hybridMultilevel"/>
    <w:tmpl w:val="ECCE2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EA4567"/>
    <w:multiLevelType w:val="hybridMultilevel"/>
    <w:tmpl w:val="7A241F3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DD75CCC"/>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B05903"/>
    <w:multiLevelType w:val="multilevel"/>
    <w:tmpl w:val="23E2F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9418D"/>
    <w:multiLevelType w:val="multilevel"/>
    <w:tmpl w:val="F59C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21D75"/>
    <w:multiLevelType w:val="hybridMultilevel"/>
    <w:tmpl w:val="5BB45A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D367802"/>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D5173"/>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33B05"/>
    <w:multiLevelType w:val="multilevel"/>
    <w:tmpl w:val="D198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0435A"/>
    <w:multiLevelType w:val="multilevel"/>
    <w:tmpl w:val="19C6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22EC9"/>
    <w:multiLevelType w:val="multilevel"/>
    <w:tmpl w:val="382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A717B5"/>
    <w:multiLevelType w:val="multilevel"/>
    <w:tmpl w:val="637E2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7B08FA"/>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755886"/>
    <w:multiLevelType w:val="multilevel"/>
    <w:tmpl w:val="AD785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5D0F47"/>
    <w:multiLevelType w:val="multilevel"/>
    <w:tmpl w:val="6F28C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E7EE0"/>
    <w:multiLevelType w:val="multilevel"/>
    <w:tmpl w:val="3F12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DB2E12"/>
    <w:multiLevelType w:val="multilevel"/>
    <w:tmpl w:val="5E50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8D3F34"/>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E85F7D"/>
    <w:multiLevelType w:val="multilevel"/>
    <w:tmpl w:val="10A6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707ADC"/>
    <w:multiLevelType w:val="multilevel"/>
    <w:tmpl w:val="8CC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E05CAF"/>
    <w:multiLevelType w:val="multilevel"/>
    <w:tmpl w:val="EAC2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B6F39"/>
    <w:multiLevelType w:val="multilevel"/>
    <w:tmpl w:val="44B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46620"/>
    <w:multiLevelType w:val="multilevel"/>
    <w:tmpl w:val="3822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796B2D"/>
    <w:multiLevelType w:val="multilevel"/>
    <w:tmpl w:val="B34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005606">
    <w:abstractNumId w:val="8"/>
  </w:num>
  <w:num w:numId="2" w16cid:durableId="1830704558">
    <w:abstractNumId w:val="6"/>
  </w:num>
  <w:num w:numId="3" w16cid:durableId="1478256044">
    <w:abstractNumId w:val="5"/>
  </w:num>
  <w:num w:numId="4" w16cid:durableId="238685289">
    <w:abstractNumId w:val="4"/>
  </w:num>
  <w:num w:numId="5" w16cid:durableId="1370177960">
    <w:abstractNumId w:val="7"/>
  </w:num>
  <w:num w:numId="6" w16cid:durableId="1428842664">
    <w:abstractNumId w:val="3"/>
  </w:num>
  <w:num w:numId="7" w16cid:durableId="2021351888">
    <w:abstractNumId w:val="2"/>
  </w:num>
  <w:num w:numId="8" w16cid:durableId="1632443237">
    <w:abstractNumId w:val="1"/>
  </w:num>
  <w:num w:numId="9" w16cid:durableId="1655792052">
    <w:abstractNumId w:val="0"/>
  </w:num>
  <w:num w:numId="10" w16cid:durableId="115298823">
    <w:abstractNumId w:val="27"/>
  </w:num>
  <w:num w:numId="11" w16cid:durableId="1673409033">
    <w:abstractNumId w:val="18"/>
  </w:num>
  <w:num w:numId="12" w16cid:durableId="319582479">
    <w:abstractNumId w:val="22"/>
  </w:num>
  <w:num w:numId="13" w16cid:durableId="361514767">
    <w:abstractNumId w:val="9"/>
  </w:num>
  <w:num w:numId="14" w16cid:durableId="1331639095">
    <w:abstractNumId w:val="32"/>
  </w:num>
  <w:num w:numId="15" w16cid:durableId="249969632">
    <w:abstractNumId w:val="37"/>
  </w:num>
  <w:num w:numId="16" w16cid:durableId="1859545488">
    <w:abstractNumId w:val="20"/>
  </w:num>
  <w:num w:numId="17" w16cid:durableId="878201434">
    <w:abstractNumId w:val="11"/>
  </w:num>
  <w:num w:numId="18" w16cid:durableId="2006591478">
    <w:abstractNumId w:val="38"/>
  </w:num>
  <w:num w:numId="19" w16cid:durableId="1089690439">
    <w:abstractNumId w:val="23"/>
  </w:num>
  <w:num w:numId="20" w16cid:durableId="895816602">
    <w:abstractNumId w:val="33"/>
  </w:num>
  <w:num w:numId="21" w16cid:durableId="921254587">
    <w:abstractNumId w:val="21"/>
  </w:num>
  <w:num w:numId="22" w16cid:durableId="1115447979">
    <w:abstractNumId w:val="28"/>
  </w:num>
  <w:num w:numId="23" w16cid:durableId="1849250663">
    <w:abstractNumId w:val="40"/>
  </w:num>
  <w:num w:numId="24" w16cid:durableId="1868639546">
    <w:abstractNumId w:val="31"/>
  </w:num>
  <w:num w:numId="25" w16cid:durableId="481310141">
    <w:abstractNumId w:val="36"/>
  </w:num>
  <w:num w:numId="26" w16cid:durableId="2116975089">
    <w:abstractNumId w:val="29"/>
  </w:num>
  <w:num w:numId="27" w16cid:durableId="427845492">
    <w:abstractNumId w:val="30"/>
  </w:num>
  <w:num w:numId="28" w16cid:durableId="289170052">
    <w:abstractNumId w:val="12"/>
  </w:num>
  <w:num w:numId="29" w16cid:durableId="192889334">
    <w:abstractNumId w:val="13"/>
  </w:num>
  <w:num w:numId="30" w16cid:durableId="1147167934">
    <w:abstractNumId w:val="19"/>
  </w:num>
  <w:num w:numId="31" w16cid:durableId="5324715">
    <w:abstractNumId w:val="10"/>
  </w:num>
  <w:num w:numId="32" w16cid:durableId="1659462168">
    <w:abstractNumId w:val="24"/>
  </w:num>
  <w:num w:numId="33" w16cid:durableId="1737824600">
    <w:abstractNumId w:val="34"/>
  </w:num>
  <w:num w:numId="34" w16cid:durableId="1542669959">
    <w:abstractNumId w:val="39"/>
  </w:num>
  <w:num w:numId="35" w16cid:durableId="1994135547">
    <w:abstractNumId w:val="15"/>
  </w:num>
  <w:num w:numId="36" w16cid:durableId="1451316910">
    <w:abstractNumId w:val="16"/>
  </w:num>
  <w:num w:numId="37" w16cid:durableId="1149904148">
    <w:abstractNumId w:val="17"/>
  </w:num>
  <w:num w:numId="38" w16cid:durableId="1457675384">
    <w:abstractNumId w:val="14"/>
  </w:num>
  <w:num w:numId="39" w16cid:durableId="778257388">
    <w:abstractNumId w:val="26"/>
  </w:num>
  <w:num w:numId="40" w16cid:durableId="1913463853">
    <w:abstractNumId w:val="35"/>
  </w:num>
  <w:num w:numId="41" w16cid:durableId="6216129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2A9D"/>
    <w:rsid w:val="00145B9D"/>
    <w:rsid w:val="0015074B"/>
    <w:rsid w:val="00286A52"/>
    <w:rsid w:val="0029639D"/>
    <w:rsid w:val="002D3DAC"/>
    <w:rsid w:val="00315AA1"/>
    <w:rsid w:val="00326F90"/>
    <w:rsid w:val="0036435F"/>
    <w:rsid w:val="003D0A70"/>
    <w:rsid w:val="00437B46"/>
    <w:rsid w:val="00437F0F"/>
    <w:rsid w:val="004C43E4"/>
    <w:rsid w:val="004E4D81"/>
    <w:rsid w:val="005A1949"/>
    <w:rsid w:val="005A6494"/>
    <w:rsid w:val="00723EE6"/>
    <w:rsid w:val="007A3937"/>
    <w:rsid w:val="007F70A3"/>
    <w:rsid w:val="00805E66"/>
    <w:rsid w:val="00825624"/>
    <w:rsid w:val="008776A7"/>
    <w:rsid w:val="00877C8E"/>
    <w:rsid w:val="009C059D"/>
    <w:rsid w:val="00A51F3B"/>
    <w:rsid w:val="00A81B87"/>
    <w:rsid w:val="00AA1D8D"/>
    <w:rsid w:val="00B040AF"/>
    <w:rsid w:val="00B042ED"/>
    <w:rsid w:val="00B203F6"/>
    <w:rsid w:val="00B36C30"/>
    <w:rsid w:val="00B47730"/>
    <w:rsid w:val="00B80D9E"/>
    <w:rsid w:val="00BB2709"/>
    <w:rsid w:val="00BE177A"/>
    <w:rsid w:val="00C16CFC"/>
    <w:rsid w:val="00C179AC"/>
    <w:rsid w:val="00C60D14"/>
    <w:rsid w:val="00CB0664"/>
    <w:rsid w:val="00CD1051"/>
    <w:rsid w:val="00CF407B"/>
    <w:rsid w:val="00D36CA1"/>
    <w:rsid w:val="00E92E79"/>
    <w:rsid w:val="00EA5DB3"/>
    <w:rsid w:val="00ED28D1"/>
    <w:rsid w:val="00F90A5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03B1E"/>
  <w14:defaultImageDpi w14:val="300"/>
  <w15:docId w15:val="{477403FF-3456-4029-B4CF-63CF4486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BE17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9809">
      <w:bodyDiv w:val="1"/>
      <w:marLeft w:val="0"/>
      <w:marRight w:val="0"/>
      <w:marTop w:val="0"/>
      <w:marBottom w:val="0"/>
      <w:divBdr>
        <w:top w:val="none" w:sz="0" w:space="0" w:color="auto"/>
        <w:left w:val="none" w:sz="0" w:space="0" w:color="auto"/>
        <w:bottom w:val="none" w:sz="0" w:space="0" w:color="auto"/>
        <w:right w:val="none" w:sz="0" w:space="0" w:color="auto"/>
      </w:divBdr>
    </w:div>
    <w:div w:id="80682361">
      <w:bodyDiv w:val="1"/>
      <w:marLeft w:val="0"/>
      <w:marRight w:val="0"/>
      <w:marTop w:val="0"/>
      <w:marBottom w:val="0"/>
      <w:divBdr>
        <w:top w:val="none" w:sz="0" w:space="0" w:color="auto"/>
        <w:left w:val="none" w:sz="0" w:space="0" w:color="auto"/>
        <w:bottom w:val="none" w:sz="0" w:space="0" w:color="auto"/>
        <w:right w:val="none" w:sz="0" w:space="0" w:color="auto"/>
      </w:divBdr>
      <w:divsChild>
        <w:div w:id="139659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4070">
      <w:bodyDiv w:val="1"/>
      <w:marLeft w:val="0"/>
      <w:marRight w:val="0"/>
      <w:marTop w:val="0"/>
      <w:marBottom w:val="0"/>
      <w:divBdr>
        <w:top w:val="none" w:sz="0" w:space="0" w:color="auto"/>
        <w:left w:val="none" w:sz="0" w:space="0" w:color="auto"/>
        <w:bottom w:val="none" w:sz="0" w:space="0" w:color="auto"/>
        <w:right w:val="none" w:sz="0" w:space="0" w:color="auto"/>
      </w:divBdr>
    </w:div>
    <w:div w:id="310445762">
      <w:bodyDiv w:val="1"/>
      <w:marLeft w:val="0"/>
      <w:marRight w:val="0"/>
      <w:marTop w:val="0"/>
      <w:marBottom w:val="0"/>
      <w:divBdr>
        <w:top w:val="none" w:sz="0" w:space="0" w:color="auto"/>
        <w:left w:val="none" w:sz="0" w:space="0" w:color="auto"/>
        <w:bottom w:val="none" w:sz="0" w:space="0" w:color="auto"/>
        <w:right w:val="none" w:sz="0" w:space="0" w:color="auto"/>
      </w:divBdr>
    </w:div>
    <w:div w:id="330910307">
      <w:bodyDiv w:val="1"/>
      <w:marLeft w:val="0"/>
      <w:marRight w:val="0"/>
      <w:marTop w:val="0"/>
      <w:marBottom w:val="0"/>
      <w:divBdr>
        <w:top w:val="none" w:sz="0" w:space="0" w:color="auto"/>
        <w:left w:val="none" w:sz="0" w:space="0" w:color="auto"/>
        <w:bottom w:val="none" w:sz="0" w:space="0" w:color="auto"/>
        <w:right w:val="none" w:sz="0" w:space="0" w:color="auto"/>
      </w:divBdr>
      <w:divsChild>
        <w:div w:id="206772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768921">
      <w:bodyDiv w:val="1"/>
      <w:marLeft w:val="0"/>
      <w:marRight w:val="0"/>
      <w:marTop w:val="0"/>
      <w:marBottom w:val="0"/>
      <w:divBdr>
        <w:top w:val="none" w:sz="0" w:space="0" w:color="auto"/>
        <w:left w:val="none" w:sz="0" w:space="0" w:color="auto"/>
        <w:bottom w:val="none" w:sz="0" w:space="0" w:color="auto"/>
        <w:right w:val="none" w:sz="0" w:space="0" w:color="auto"/>
      </w:divBdr>
      <w:divsChild>
        <w:div w:id="641889121">
          <w:marLeft w:val="0"/>
          <w:marRight w:val="0"/>
          <w:marTop w:val="0"/>
          <w:marBottom w:val="0"/>
          <w:divBdr>
            <w:top w:val="none" w:sz="0" w:space="0" w:color="auto"/>
            <w:left w:val="none" w:sz="0" w:space="0" w:color="auto"/>
            <w:bottom w:val="none" w:sz="0" w:space="0" w:color="auto"/>
            <w:right w:val="none" w:sz="0" w:space="0" w:color="auto"/>
          </w:divBdr>
          <w:divsChild>
            <w:div w:id="18073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9398">
      <w:bodyDiv w:val="1"/>
      <w:marLeft w:val="0"/>
      <w:marRight w:val="0"/>
      <w:marTop w:val="0"/>
      <w:marBottom w:val="0"/>
      <w:divBdr>
        <w:top w:val="none" w:sz="0" w:space="0" w:color="auto"/>
        <w:left w:val="none" w:sz="0" w:space="0" w:color="auto"/>
        <w:bottom w:val="none" w:sz="0" w:space="0" w:color="auto"/>
        <w:right w:val="none" w:sz="0" w:space="0" w:color="auto"/>
      </w:divBdr>
    </w:div>
    <w:div w:id="561020644">
      <w:bodyDiv w:val="1"/>
      <w:marLeft w:val="0"/>
      <w:marRight w:val="0"/>
      <w:marTop w:val="0"/>
      <w:marBottom w:val="0"/>
      <w:divBdr>
        <w:top w:val="none" w:sz="0" w:space="0" w:color="auto"/>
        <w:left w:val="none" w:sz="0" w:space="0" w:color="auto"/>
        <w:bottom w:val="none" w:sz="0" w:space="0" w:color="auto"/>
        <w:right w:val="none" w:sz="0" w:space="0" w:color="auto"/>
      </w:divBdr>
    </w:div>
    <w:div w:id="604388920">
      <w:bodyDiv w:val="1"/>
      <w:marLeft w:val="0"/>
      <w:marRight w:val="0"/>
      <w:marTop w:val="0"/>
      <w:marBottom w:val="0"/>
      <w:divBdr>
        <w:top w:val="none" w:sz="0" w:space="0" w:color="auto"/>
        <w:left w:val="none" w:sz="0" w:space="0" w:color="auto"/>
        <w:bottom w:val="none" w:sz="0" w:space="0" w:color="auto"/>
        <w:right w:val="none" w:sz="0" w:space="0" w:color="auto"/>
      </w:divBdr>
      <w:divsChild>
        <w:div w:id="1975678395">
          <w:marLeft w:val="0"/>
          <w:marRight w:val="0"/>
          <w:marTop w:val="0"/>
          <w:marBottom w:val="0"/>
          <w:divBdr>
            <w:top w:val="none" w:sz="0" w:space="0" w:color="auto"/>
            <w:left w:val="none" w:sz="0" w:space="0" w:color="auto"/>
            <w:bottom w:val="none" w:sz="0" w:space="0" w:color="auto"/>
            <w:right w:val="none" w:sz="0" w:space="0" w:color="auto"/>
          </w:divBdr>
          <w:divsChild>
            <w:div w:id="2607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4971">
      <w:bodyDiv w:val="1"/>
      <w:marLeft w:val="0"/>
      <w:marRight w:val="0"/>
      <w:marTop w:val="0"/>
      <w:marBottom w:val="0"/>
      <w:divBdr>
        <w:top w:val="none" w:sz="0" w:space="0" w:color="auto"/>
        <w:left w:val="none" w:sz="0" w:space="0" w:color="auto"/>
        <w:bottom w:val="none" w:sz="0" w:space="0" w:color="auto"/>
        <w:right w:val="none" w:sz="0" w:space="0" w:color="auto"/>
      </w:divBdr>
    </w:div>
    <w:div w:id="933322340">
      <w:bodyDiv w:val="1"/>
      <w:marLeft w:val="0"/>
      <w:marRight w:val="0"/>
      <w:marTop w:val="0"/>
      <w:marBottom w:val="0"/>
      <w:divBdr>
        <w:top w:val="none" w:sz="0" w:space="0" w:color="auto"/>
        <w:left w:val="none" w:sz="0" w:space="0" w:color="auto"/>
        <w:bottom w:val="none" w:sz="0" w:space="0" w:color="auto"/>
        <w:right w:val="none" w:sz="0" w:space="0" w:color="auto"/>
      </w:divBdr>
    </w:div>
    <w:div w:id="983894735">
      <w:bodyDiv w:val="1"/>
      <w:marLeft w:val="0"/>
      <w:marRight w:val="0"/>
      <w:marTop w:val="0"/>
      <w:marBottom w:val="0"/>
      <w:divBdr>
        <w:top w:val="none" w:sz="0" w:space="0" w:color="auto"/>
        <w:left w:val="none" w:sz="0" w:space="0" w:color="auto"/>
        <w:bottom w:val="none" w:sz="0" w:space="0" w:color="auto"/>
        <w:right w:val="none" w:sz="0" w:space="0" w:color="auto"/>
      </w:divBdr>
    </w:div>
    <w:div w:id="1233010127">
      <w:bodyDiv w:val="1"/>
      <w:marLeft w:val="0"/>
      <w:marRight w:val="0"/>
      <w:marTop w:val="0"/>
      <w:marBottom w:val="0"/>
      <w:divBdr>
        <w:top w:val="none" w:sz="0" w:space="0" w:color="auto"/>
        <w:left w:val="none" w:sz="0" w:space="0" w:color="auto"/>
        <w:bottom w:val="none" w:sz="0" w:space="0" w:color="auto"/>
        <w:right w:val="none" w:sz="0" w:space="0" w:color="auto"/>
      </w:divBdr>
    </w:div>
    <w:div w:id="1402287858">
      <w:bodyDiv w:val="1"/>
      <w:marLeft w:val="0"/>
      <w:marRight w:val="0"/>
      <w:marTop w:val="0"/>
      <w:marBottom w:val="0"/>
      <w:divBdr>
        <w:top w:val="none" w:sz="0" w:space="0" w:color="auto"/>
        <w:left w:val="none" w:sz="0" w:space="0" w:color="auto"/>
        <w:bottom w:val="none" w:sz="0" w:space="0" w:color="auto"/>
        <w:right w:val="none" w:sz="0" w:space="0" w:color="auto"/>
      </w:divBdr>
    </w:div>
    <w:div w:id="1491289418">
      <w:bodyDiv w:val="1"/>
      <w:marLeft w:val="0"/>
      <w:marRight w:val="0"/>
      <w:marTop w:val="0"/>
      <w:marBottom w:val="0"/>
      <w:divBdr>
        <w:top w:val="none" w:sz="0" w:space="0" w:color="auto"/>
        <w:left w:val="none" w:sz="0" w:space="0" w:color="auto"/>
        <w:bottom w:val="none" w:sz="0" w:space="0" w:color="auto"/>
        <w:right w:val="none" w:sz="0" w:space="0" w:color="auto"/>
      </w:divBdr>
      <w:divsChild>
        <w:div w:id="18317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088654">
      <w:bodyDiv w:val="1"/>
      <w:marLeft w:val="0"/>
      <w:marRight w:val="0"/>
      <w:marTop w:val="0"/>
      <w:marBottom w:val="0"/>
      <w:divBdr>
        <w:top w:val="none" w:sz="0" w:space="0" w:color="auto"/>
        <w:left w:val="none" w:sz="0" w:space="0" w:color="auto"/>
        <w:bottom w:val="none" w:sz="0" w:space="0" w:color="auto"/>
        <w:right w:val="none" w:sz="0" w:space="0" w:color="auto"/>
      </w:divBdr>
      <w:divsChild>
        <w:div w:id="119881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218380">
      <w:bodyDiv w:val="1"/>
      <w:marLeft w:val="0"/>
      <w:marRight w:val="0"/>
      <w:marTop w:val="0"/>
      <w:marBottom w:val="0"/>
      <w:divBdr>
        <w:top w:val="none" w:sz="0" w:space="0" w:color="auto"/>
        <w:left w:val="none" w:sz="0" w:space="0" w:color="auto"/>
        <w:bottom w:val="none" w:sz="0" w:space="0" w:color="auto"/>
        <w:right w:val="none" w:sz="0" w:space="0" w:color="auto"/>
      </w:divBdr>
    </w:div>
    <w:div w:id="2020155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Saints Angels</cp:lastModifiedBy>
  <cp:revision>10</cp:revision>
  <dcterms:created xsi:type="dcterms:W3CDTF">2025-06-24T02:39:00Z</dcterms:created>
  <dcterms:modified xsi:type="dcterms:W3CDTF">2025-07-13T23:44:00Z</dcterms:modified>
  <cp:category/>
</cp:coreProperties>
</file>